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F8BFF" w14:textId="4134EB20" w:rsidR="00A01ADF" w:rsidRDefault="00A01ADF" w:rsidP="00A01ADF">
      <w:pPr>
        <w:pStyle w:val="CRCoverPage"/>
        <w:tabs>
          <w:tab w:val="right" w:pos="9639"/>
        </w:tabs>
        <w:spacing w:after="0"/>
        <w:rPr>
          <w:b/>
          <w:i/>
          <w:noProof/>
          <w:sz w:val="28"/>
        </w:rPr>
      </w:pPr>
      <w:r>
        <w:rPr>
          <w:b/>
          <w:noProof/>
          <w:sz w:val="24"/>
        </w:rPr>
        <w:t>3GPP TSG-</w:t>
      </w:r>
      <w:r>
        <w:rPr>
          <w:rFonts w:hint="eastAsia"/>
          <w:b/>
          <w:noProof/>
          <w:sz w:val="24"/>
          <w:lang w:eastAsia="zh-CN"/>
        </w:rPr>
        <w:t>RA</w:t>
      </w:r>
      <w:r>
        <w:rPr>
          <w:b/>
          <w:noProof/>
          <w:sz w:val="24"/>
          <w:lang w:eastAsia="zh-CN"/>
        </w:rPr>
        <w:t>N</w:t>
      </w:r>
      <w:r w:rsidR="007E0CCC">
        <w:rPr>
          <w:b/>
          <w:noProof/>
          <w:sz w:val="24"/>
          <w:lang w:eastAsia="zh-CN"/>
        </w:rPr>
        <w:t>4</w:t>
      </w:r>
      <w:r>
        <w:rPr>
          <w:b/>
          <w:noProof/>
          <w:sz w:val="24"/>
        </w:rPr>
        <w:t xml:space="preserve"> Meeting #</w:t>
      </w:r>
      <w:r w:rsidR="003726FB">
        <w:fldChar w:fldCharType="begin"/>
      </w:r>
      <w:r w:rsidR="003726FB">
        <w:instrText xml:space="preserve"> DOCPROPERTY  MtgSeq  \* MERGEFORMAT </w:instrText>
      </w:r>
      <w:r w:rsidR="003726FB">
        <w:fldChar w:fldCharType="separate"/>
      </w:r>
      <w:r>
        <w:rPr>
          <w:b/>
          <w:noProof/>
          <w:sz w:val="24"/>
        </w:rPr>
        <w:t>1</w:t>
      </w:r>
      <w:r w:rsidR="003726FB">
        <w:rPr>
          <w:b/>
          <w:noProof/>
          <w:sz w:val="24"/>
        </w:rPr>
        <w:fldChar w:fldCharType="end"/>
      </w:r>
      <w:r w:rsidR="006165E1">
        <w:rPr>
          <w:b/>
          <w:noProof/>
          <w:sz w:val="24"/>
        </w:rPr>
        <w:t>1</w:t>
      </w:r>
      <w:r w:rsidR="00D92D67">
        <w:rPr>
          <w:b/>
          <w:noProof/>
          <w:sz w:val="24"/>
        </w:rPr>
        <w:t>2</w:t>
      </w:r>
      <w:r w:rsidR="00F5659D">
        <w:rPr>
          <w:rFonts w:hint="eastAsia"/>
          <w:b/>
          <w:noProof/>
          <w:sz w:val="24"/>
          <w:lang w:eastAsia="zh-CN"/>
        </w:rPr>
        <w:t>bis</w:t>
      </w:r>
      <w:r>
        <w:rPr>
          <w:b/>
          <w:i/>
          <w:noProof/>
          <w:sz w:val="28"/>
        </w:rPr>
        <w:tab/>
      </w:r>
      <w:r w:rsidR="003726FB">
        <w:fldChar w:fldCharType="begin"/>
      </w:r>
      <w:r w:rsidR="003726FB">
        <w:instrText xml:space="preserve"> DOCPROPERTY  Tdoc#  \* MERGEFORMAT </w:instrText>
      </w:r>
      <w:r w:rsidR="003726FB">
        <w:fldChar w:fldCharType="separate"/>
      </w:r>
      <w:r>
        <w:rPr>
          <w:b/>
          <w:i/>
          <w:noProof/>
          <w:sz w:val="28"/>
        </w:rPr>
        <w:t>R4-2</w:t>
      </w:r>
      <w:r w:rsidR="003726FB">
        <w:rPr>
          <w:b/>
          <w:i/>
          <w:noProof/>
          <w:sz w:val="28"/>
        </w:rPr>
        <w:fldChar w:fldCharType="end"/>
      </w:r>
      <w:r w:rsidR="006165E1">
        <w:rPr>
          <w:b/>
          <w:i/>
          <w:noProof/>
          <w:sz w:val="28"/>
        </w:rPr>
        <w:t>4</w:t>
      </w:r>
      <w:r w:rsidR="0016628D">
        <w:rPr>
          <w:b/>
          <w:i/>
          <w:noProof/>
          <w:sz w:val="28"/>
        </w:rPr>
        <w:t>16296</w:t>
      </w:r>
      <w:bookmarkStart w:id="0" w:name="_GoBack"/>
      <w:bookmarkEnd w:id="0"/>
    </w:p>
    <w:p w14:paraId="45B6A111" w14:textId="5814B4FB" w:rsidR="00940222" w:rsidRPr="0052514D" w:rsidRDefault="00F5659D" w:rsidP="00940222">
      <w:pPr>
        <w:pStyle w:val="a3"/>
        <w:tabs>
          <w:tab w:val="right" w:pos="9781"/>
          <w:tab w:val="right" w:pos="13323"/>
        </w:tabs>
        <w:spacing w:before="60" w:after="60"/>
        <w:outlineLvl w:val="0"/>
        <w:rPr>
          <w:rFonts w:cs="Arial"/>
          <w:b w:val="0"/>
          <w:sz w:val="24"/>
          <w:szCs w:val="24"/>
          <w:lang w:eastAsia="zh-CN"/>
        </w:rPr>
      </w:pPr>
      <w:r>
        <w:rPr>
          <w:rFonts w:cs="Arial"/>
          <w:sz w:val="24"/>
          <w:szCs w:val="24"/>
          <w:lang w:eastAsia="zh-CN"/>
        </w:rPr>
        <w:t>Hefei, Anhui, China</w:t>
      </w:r>
      <w:r w:rsidR="00940222">
        <w:rPr>
          <w:rFonts w:cs="Arial"/>
          <w:sz w:val="24"/>
          <w:szCs w:val="24"/>
          <w:lang w:eastAsia="zh-CN"/>
        </w:rPr>
        <w:t>, 1</w:t>
      </w:r>
      <w:r>
        <w:rPr>
          <w:rFonts w:cs="Arial"/>
          <w:sz w:val="24"/>
          <w:szCs w:val="24"/>
          <w:lang w:eastAsia="zh-CN"/>
        </w:rPr>
        <w:t>4</w:t>
      </w:r>
      <w:r w:rsidR="00940222" w:rsidRPr="0052514D">
        <w:rPr>
          <w:rFonts w:cs="Arial"/>
          <w:sz w:val="24"/>
          <w:szCs w:val="24"/>
          <w:vertAlign w:val="superscript"/>
          <w:lang w:eastAsia="zh-CN"/>
        </w:rPr>
        <w:t>th</w:t>
      </w:r>
      <w:r w:rsidR="00940222" w:rsidRPr="0052514D">
        <w:rPr>
          <w:rFonts w:cs="Arial"/>
          <w:sz w:val="24"/>
          <w:szCs w:val="24"/>
          <w:lang w:eastAsia="zh-CN"/>
        </w:rPr>
        <w:t xml:space="preserve"> – </w:t>
      </w:r>
      <w:r>
        <w:rPr>
          <w:rFonts w:cs="Arial"/>
          <w:sz w:val="24"/>
          <w:szCs w:val="24"/>
          <w:lang w:eastAsia="zh-CN"/>
        </w:rPr>
        <w:t>18</w:t>
      </w:r>
      <w:r>
        <w:rPr>
          <w:rFonts w:cs="Arial"/>
          <w:sz w:val="24"/>
          <w:szCs w:val="24"/>
          <w:vertAlign w:val="superscript"/>
          <w:lang w:eastAsia="zh-CN"/>
        </w:rPr>
        <w:t>th</w:t>
      </w:r>
      <w:r w:rsidR="00940222">
        <w:rPr>
          <w:rFonts w:cs="Arial"/>
          <w:sz w:val="24"/>
          <w:szCs w:val="24"/>
          <w:lang w:eastAsia="zh-CN"/>
        </w:rPr>
        <w:t xml:space="preserve"> </w:t>
      </w:r>
      <w:r>
        <w:rPr>
          <w:rFonts w:cs="Arial"/>
          <w:sz w:val="24"/>
          <w:szCs w:val="24"/>
          <w:lang w:eastAsia="zh-CN"/>
        </w:rPr>
        <w:t>October</w:t>
      </w:r>
      <w:r w:rsidR="00940222" w:rsidRPr="0052514D">
        <w:rPr>
          <w:rFonts w:cs="Arial"/>
          <w:sz w:val="24"/>
          <w:szCs w:val="24"/>
          <w:lang w:eastAsia="zh-CN"/>
        </w:rPr>
        <w:t>, 2024</w:t>
      </w:r>
    </w:p>
    <w:p w14:paraId="508E45E5" w14:textId="77777777" w:rsidR="00A01ADF" w:rsidRPr="00F5659D" w:rsidRDefault="00A01ADF" w:rsidP="00A01ADF">
      <w:pPr>
        <w:spacing w:after="120"/>
        <w:ind w:left="1985" w:hanging="1985"/>
        <w:rPr>
          <w:rFonts w:ascii="Arial" w:eastAsia="MS Mincho" w:hAnsi="Arial" w:cs="Arial"/>
          <w:b/>
          <w:sz w:val="22"/>
        </w:rPr>
      </w:pPr>
    </w:p>
    <w:p w14:paraId="3F5FBE55" w14:textId="69CB2650" w:rsidR="00C136AF" w:rsidRDefault="00C136AF" w:rsidP="00C136AF">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03540B">
        <w:rPr>
          <w:rFonts w:ascii="Arial" w:hAnsi="Arial" w:cs="Arial" w:hint="eastAsia"/>
          <w:b/>
          <w:sz w:val="22"/>
          <w:szCs w:val="22"/>
          <w:lang w:eastAsia="zh-CN"/>
        </w:rPr>
        <w:t>D</w:t>
      </w:r>
      <w:r w:rsidR="0003540B">
        <w:rPr>
          <w:rFonts w:ascii="Arial" w:hAnsi="Arial" w:cs="Arial"/>
          <w:b/>
          <w:sz w:val="22"/>
          <w:szCs w:val="22"/>
        </w:rPr>
        <w:t>iscussion on</w:t>
      </w:r>
      <w:r w:rsidR="003D04FF">
        <w:rPr>
          <w:rFonts w:ascii="Arial" w:hAnsi="Arial" w:cs="Arial"/>
          <w:b/>
          <w:sz w:val="22"/>
          <w:szCs w:val="22"/>
        </w:rPr>
        <w:t xml:space="preserve"> </w:t>
      </w:r>
      <w:r w:rsidR="004346B5">
        <w:rPr>
          <w:rFonts w:ascii="Arial" w:hAnsi="Arial" w:cs="Arial"/>
          <w:b/>
          <w:sz w:val="22"/>
          <w:szCs w:val="22"/>
        </w:rPr>
        <w:t>IoT-NTN HPUE T</w:t>
      </w:r>
      <w:r w:rsidR="00F26F0D">
        <w:rPr>
          <w:rFonts w:ascii="Arial" w:hAnsi="Arial" w:cs="Arial"/>
          <w:b/>
          <w:sz w:val="22"/>
          <w:szCs w:val="22"/>
        </w:rPr>
        <w:t>x requirements</w:t>
      </w:r>
    </w:p>
    <w:p w14:paraId="57159C0B" w14:textId="5AA264AA" w:rsidR="00C136AF" w:rsidRDefault="00C136AF" w:rsidP="00C136AF">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Samsung</w:t>
      </w:r>
    </w:p>
    <w:p w14:paraId="731031AD" w14:textId="36462798" w:rsidR="00C136AF" w:rsidRPr="00335D84" w:rsidRDefault="00C136AF" w:rsidP="00C136AF">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F5659D">
        <w:rPr>
          <w:rFonts w:ascii="Arial" w:hAnsi="Arial" w:cs="Arial"/>
          <w:b/>
          <w:sz w:val="22"/>
          <w:szCs w:val="22"/>
        </w:rPr>
        <w:t>6.8.2.</w:t>
      </w:r>
      <w:r w:rsidR="004346B5">
        <w:rPr>
          <w:rFonts w:ascii="Arial" w:hAnsi="Arial" w:cs="Arial"/>
          <w:b/>
          <w:sz w:val="22"/>
          <w:szCs w:val="22"/>
        </w:rPr>
        <w:t>3</w:t>
      </w:r>
      <w:r w:rsidR="00F26F0D">
        <w:rPr>
          <w:rFonts w:ascii="Arial" w:hAnsi="Arial" w:cs="Arial"/>
          <w:b/>
          <w:sz w:val="22"/>
          <w:szCs w:val="22"/>
        </w:rPr>
        <w:t>.</w:t>
      </w:r>
      <w:r w:rsidR="004346B5">
        <w:rPr>
          <w:rFonts w:ascii="Arial" w:hAnsi="Arial" w:cs="Arial"/>
          <w:b/>
          <w:sz w:val="22"/>
          <w:szCs w:val="22"/>
        </w:rPr>
        <w:t>1</w:t>
      </w:r>
    </w:p>
    <w:p w14:paraId="4F4EB853" w14:textId="1BAFC5E4" w:rsidR="00C136AF" w:rsidRPr="00335D84" w:rsidRDefault="00C136AF" w:rsidP="00C136AF">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03540B">
        <w:rPr>
          <w:rFonts w:ascii="Arial" w:hAnsi="Arial" w:cs="Arial"/>
          <w:b/>
          <w:bCs/>
          <w:sz w:val="22"/>
          <w:szCs w:val="22"/>
        </w:rPr>
        <w:t>Approval</w:t>
      </w:r>
    </w:p>
    <w:p w14:paraId="21AF2B6B" w14:textId="77777777" w:rsidR="00B420B2" w:rsidRPr="00790A07" w:rsidRDefault="00B420B2" w:rsidP="00B420B2">
      <w:pPr>
        <w:pStyle w:val="1"/>
      </w:pPr>
      <w:r w:rsidRPr="00790A07">
        <w:t>1</w:t>
      </w:r>
      <w:r w:rsidRPr="00790A07">
        <w:tab/>
        <w:t>Introduction</w:t>
      </w:r>
    </w:p>
    <w:p w14:paraId="58216C6E" w14:textId="50F48EF5" w:rsidR="00B420B2" w:rsidRDefault="00B420B2" w:rsidP="00B420B2">
      <w:r>
        <w:t xml:space="preserve">In the RAN4#112 </w:t>
      </w:r>
      <w:r>
        <w:rPr>
          <w:rFonts w:hint="eastAsia"/>
          <w:lang w:eastAsia="zh-CN"/>
        </w:rPr>
        <w:t>meeting</w:t>
      </w:r>
      <w:r>
        <w:t xml:space="preserve">, the WF R4-2414452 [1] had achieved </w:t>
      </w:r>
      <w:r>
        <w:rPr>
          <w:rFonts w:hint="eastAsia"/>
          <w:lang w:eastAsia="zh-CN"/>
        </w:rPr>
        <w:t>a</w:t>
      </w:r>
      <w:r>
        <w:t xml:space="preserve">greements for </w:t>
      </w:r>
      <w:r w:rsidR="000D76FD">
        <w:t>Io</w:t>
      </w:r>
      <w:r w:rsidR="005156A1">
        <w:t>T</w:t>
      </w:r>
      <w:r>
        <w:t>-NTN HPUE Tx requirements. And in this paper, we continue to discuss this issue.</w:t>
      </w:r>
    </w:p>
    <w:p w14:paraId="15499985" w14:textId="77777777" w:rsidR="00B420B2" w:rsidRPr="00790A07" w:rsidRDefault="00B420B2" w:rsidP="00B420B2">
      <w:pPr>
        <w:pStyle w:val="1"/>
      </w:pPr>
      <w:r>
        <w:t>2</w:t>
      </w:r>
      <w:r w:rsidRPr="00790A07">
        <w:tab/>
      </w:r>
      <w:r>
        <w:t>Discussions</w:t>
      </w:r>
    </w:p>
    <w:p w14:paraId="439349D3" w14:textId="77777777" w:rsidR="00B420B2" w:rsidRPr="005B0003" w:rsidRDefault="00B420B2" w:rsidP="00B420B2">
      <w:pPr>
        <w:rPr>
          <w:b/>
          <w:u w:val="single"/>
          <w:lang w:val="sv-SE" w:eastAsia="zh-CN"/>
        </w:rPr>
      </w:pPr>
      <w:r w:rsidRPr="005B0003">
        <w:rPr>
          <w:rFonts w:hint="eastAsia"/>
          <w:b/>
          <w:u w:val="single"/>
          <w:lang w:val="sv-SE" w:eastAsia="zh-CN"/>
        </w:rPr>
        <w:t>A</w:t>
      </w:r>
      <w:r w:rsidRPr="005B0003">
        <w:rPr>
          <w:b/>
          <w:u w:val="single"/>
          <w:lang w:val="sv-SE" w:eastAsia="zh-CN"/>
        </w:rPr>
        <w:t>CLR:</w:t>
      </w:r>
    </w:p>
    <w:p w14:paraId="0483FA93" w14:textId="77777777" w:rsidR="00B420B2" w:rsidRDefault="00B420B2" w:rsidP="00B420B2">
      <w:pPr>
        <w:rPr>
          <w:lang w:val="sv-SE" w:eastAsia="zh-CN"/>
        </w:rPr>
      </w:pPr>
      <w:r>
        <w:rPr>
          <w:rFonts w:hint="eastAsia"/>
          <w:lang w:val="sv-SE" w:eastAsia="zh-CN"/>
        </w:rPr>
        <w:t>I</w:t>
      </w:r>
      <w:r>
        <w:rPr>
          <w:lang w:val="sv-SE" w:eastAsia="zh-CN"/>
        </w:rPr>
        <w:t xml:space="preserve">n [1], the feasibility discussion had concluded that it is feasible to support PC2 for both handheld and non-handheld devices types. </w:t>
      </w:r>
    </w:p>
    <w:tbl>
      <w:tblPr>
        <w:tblStyle w:val="a5"/>
        <w:tblW w:w="0" w:type="auto"/>
        <w:tblLook w:val="04A0" w:firstRow="1" w:lastRow="0" w:firstColumn="1" w:lastColumn="0" w:noHBand="0" w:noVBand="1"/>
      </w:tblPr>
      <w:tblGrid>
        <w:gridCol w:w="9629"/>
      </w:tblGrid>
      <w:tr w:rsidR="00B420B2" w14:paraId="719A82BD" w14:textId="77777777" w:rsidTr="00655871">
        <w:tc>
          <w:tcPr>
            <w:tcW w:w="9629" w:type="dxa"/>
          </w:tcPr>
          <w:p w14:paraId="5630817D" w14:textId="77777777" w:rsidR="00B420B2" w:rsidRPr="005C0951" w:rsidRDefault="00B420B2" w:rsidP="00655871">
            <w:pPr>
              <w:rPr>
                <w:b/>
                <w:u w:val="single"/>
                <w:lang w:eastAsia="ko-KR"/>
              </w:rPr>
            </w:pPr>
            <w:r w:rsidRPr="005C0951">
              <w:rPr>
                <w:b/>
                <w:u w:val="single"/>
                <w:lang w:eastAsia="ko-KR"/>
              </w:rPr>
              <w:t>Issue 3-2-1: NR-NTN HPUE feasibility for different power classes</w:t>
            </w:r>
          </w:p>
          <w:p w14:paraId="1DE47912" w14:textId="77777777" w:rsidR="00B420B2" w:rsidRPr="005C0951" w:rsidRDefault="00B420B2" w:rsidP="00655871">
            <w:pPr>
              <w:rPr>
                <w:b/>
                <w:u w:val="single"/>
                <w:lang w:eastAsia="ko-KR"/>
              </w:rPr>
            </w:pPr>
            <w:r w:rsidRPr="005C0951">
              <w:rPr>
                <w:b/>
                <w:u w:val="single"/>
                <w:lang w:eastAsia="ko-KR"/>
              </w:rPr>
              <w:t>Issue 3-2-2: NB-IoT based IoT-NTN HPUE feasibility for different power classes</w:t>
            </w:r>
          </w:p>
          <w:p w14:paraId="61056727" w14:textId="77777777" w:rsidR="00B420B2" w:rsidRPr="005C0951" w:rsidRDefault="00B420B2" w:rsidP="00655871">
            <w:pPr>
              <w:rPr>
                <w:b/>
                <w:u w:val="single"/>
                <w:lang w:eastAsia="ko-KR"/>
              </w:rPr>
            </w:pPr>
            <w:r w:rsidRPr="005C0951">
              <w:rPr>
                <w:b/>
                <w:u w:val="single"/>
                <w:lang w:eastAsia="ko-KR"/>
              </w:rPr>
              <w:t>Issue 3-2-3: eMTC based IoT-NTN HPUE feasibility for different power classes</w:t>
            </w:r>
          </w:p>
          <w:p w14:paraId="2753252D" w14:textId="77777777" w:rsidR="00B420B2" w:rsidRPr="005C0951" w:rsidRDefault="00B420B2" w:rsidP="00655871">
            <w:pPr>
              <w:pStyle w:val="a6"/>
              <w:widowControl/>
              <w:numPr>
                <w:ilvl w:val="0"/>
                <w:numId w:val="1"/>
              </w:numPr>
              <w:spacing w:before="0" w:after="120" w:line="240" w:lineRule="auto"/>
              <w:ind w:left="720" w:firstLineChars="0"/>
              <w:jc w:val="left"/>
              <w:rPr>
                <w:b/>
              </w:rPr>
            </w:pPr>
            <w:r w:rsidRPr="005C0951">
              <w:rPr>
                <w:b/>
              </w:rPr>
              <w:t>Agreement</w:t>
            </w:r>
            <w:r>
              <w:rPr>
                <w:b/>
              </w:rPr>
              <w:t xml:space="preserve"> of Issue 3-2-1 to Issue 3-2-3</w:t>
            </w:r>
            <w:r w:rsidRPr="005C0951">
              <w:rPr>
                <w:b/>
              </w:rPr>
              <w:t>:</w:t>
            </w:r>
          </w:p>
          <w:p w14:paraId="3BC5F94D" w14:textId="77777777" w:rsidR="00B420B2" w:rsidRPr="005C0951" w:rsidRDefault="00B420B2" w:rsidP="00655871">
            <w:pPr>
              <w:pStyle w:val="a6"/>
              <w:widowControl/>
              <w:numPr>
                <w:ilvl w:val="1"/>
                <w:numId w:val="1"/>
              </w:numPr>
              <w:spacing w:before="0" w:after="120" w:line="240" w:lineRule="auto"/>
              <w:ind w:left="1440" w:firstLineChars="0"/>
              <w:jc w:val="left"/>
            </w:pPr>
            <w:r w:rsidRPr="005C0951">
              <w:rPr>
                <w:rFonts w:hint="eastAsia"/>
              </w:rPr>
              <w:t>F</w:t>
            </w:r>
            <w:r w:rsidRPr="005C0951">
              <w:t>or PC2, it is feasible to support both handheld and non-handheld devices.</w:t>
            </w:r>
          </w:p>
          <w:p w14:paraId="34F9E387" w14:textId="77777777" w:rsidR="00B420B2" w:rsidRPr="00C6036C" w:rsidRDefault="00B420B2" w:rsidP="00655871">
            <w:pPr>
              <w:pStyle w:val="a6"/>
              <w:widowControl/>
              <w:numPr>
                <w:ilvl w:val="1"/>
                <w:numId w:val="1"/>
              </w:numPr>
              <w:spacing w:before="0" w:after="120" w:line="240" w:lineRule="auto"/>
              <w:ind w:left="1440" w:firstLineChars="0"/>
              <w:jc w:val="left"/>
            </w:pPr>
            <w:r w:rsidRPr="005C0951">
              <w:t>FFS other power classes for applicable device type.</w:t>
            </w:r>
          </w:p>
        </w:tc>
      </w:tr>
    </w:tbl>
    <w:p w14:paraId="4F967E8D" w14:textId="77777777" w:rsidR="00B420B2" w:rsidRDefault="00B420B2" w:rsidP="00B420B2">
      <w:pPr>
        <w:rPr>
          <w:lang w:val="sv-SE" w:eastAsia="zh-CN"/>
        </w:rPr>
      </w:pPr>
    </w:p>
    <w:p w14:paraId="5B81C4A8" w14:textId="77777777" w:rsidR="00B420B2" w:rsidRDefault="00B420B2" w:rsidP="00B420B2">
      <w:pPr>
        <w:rPr>
          <w:lang w:val="sv-SE" w:eastAsia="zh-CN"/>
        </w:rPr>
      </w:pPr>
      <w:r>
        <w:rPr>
          <w:rFonts w:hint="eastAsia"/>
          <w:lang w:val="sv-SE" w:eastAsia="zh-CN"/>
        </w:rPr>
        <w:t>I</w:t>
      </w:r>
      <w:r>
        <w:rPr>
          <w:lang w:val="sv-SE" w:eastAsia="zh-CN"/>
        </w:rPr>
        <w:t>n our another paper, our co-ex study results suggested the required ACLR can be as following:</w:t>
      </w:r>
    </w:p>
    <w:tbl>
      <w:tblPr>
        <w:tblStyle w:val="a5"/>
        <w:tblW w:w="0" w:type="auto"/>
        <w:tblLook w:val="04A0" w:firstRow="1" w:lastRow="0" w:firstColumn="1" w:lastColumn="0" w:noHBand="0" w:noVBand="1"/>
      </w:tblPr>
      <w:tblGrid>
        <w:gridCol w:w="9629"/>
      </w:tblGrid>
      <w:tr w:rsidR="00B420B2" w14:paraId="6900CF49" w14:textId="77777777" w:rsidTr="00655871">
        <w:tc>
          <w:tcPr>
            <w:tcW w:w="9629" w:type="dxa"/>
          </w:tcPr>
          <w:p w14:paraId="3349CDBF" w14:textId="1F006095" w:rsidR="006355E3" w:rsidRDefault="006355E3" w:rsidP="006355E3">
            <w:pPr>
              <w:pStyle w:val="TH"/>
              <w:rPr>
                <w:lang w:val="en-US" w:eastAsia="zh-CN"/>
              </w:rPr>
            </w:pPr>
            <w:r>
              <w:rPr>
                <w:rFonts w:hint="eastAsia"/>
                <w:lang w:val="en-US" w:eastAsia="zh-CN"/>
              </w:rPr>
              <w:t>T</w:t>
            </w:r>
            <w:r>
              <w:rPr>
                <w:lang w:val="en-US" w:eastAsia="zh-CN"/>
              </w:rPr>
              <w:t>able. Suggested IoT-NTN HPUE ACLR for PC 2/1 from Scenario 4</w:t>
            </w:r>
          </w:p>
          <w:tbl>
            <w:tblPr>
              <w:tblStyle w:val="a5"/>
              <w:tblW w:w="0" w:type="auto"/>
              <w:tblLook w:val="04A0" w:firstRow="1" w:lastRow="0" w:firstColumn="1" w:lastColumn="0" w:noHBand="0" w:noVBand="1"/>
            </w:tblPr>
            <w:tblGrid>
              <w:gridCol w:w="4697"/>
              <w:gridCol w:w="4706"/>
            </w:tblGrid>
            <w:tr w:rsidR="006355E3" w14:paraId="25A61577" w14:textId="77777777" w:rsidTr="00655871">
              <w:tc>
                <w:tcPr>
                  <w:tcW w:w="4814" w:type="dxa"/>
                </w:tcPr>
                <w:p w14:paraId="3166DCF3" w14:textId="77777777" w:rsidR="006355E3" w:rsidRDefault="006355E3" w:rsidP="006355E3">
                  <w:pPr>
                    <w:rPr>
                      <w:lang w:val="en-US" w:eastAsia="zh-CN"/>
                    </w:rPr>
                  </w:pPr>
                  <w:r>
                    <w:rPr>
                      <w:rFonts w:hint="eastAsia"/>
                      <w:lang w:val="en-US" w:eastAsia="zh-CN"/>
                    </w:rPr>
                    <w:t>P</w:t>
                  </w:r>
                  <w:r>
                    <w:rPr>
                      <w:lang w:val="en-US" w:eastAsia="zh-CN"/>
                    </w:rPr>
                    <w:t>ower Class</w:t>
                  </w:r>
                </w:p>
              </w:tc>
              <w:tc>
                <w:tcPr>
                  <w:tcW w:w="4815" w:type="dxa"/>
                </w:tcPr>
                <w:p w14:paraId="52371178" w14:textId="77777777" w:rsidR="006355E3" w:rsidRDefault="006355E3" w:rsidP="006355E3">
                  <w:pPr>
                    <w:rPr>
                      <w:lang w:val="en-US" w:eastAsia="zh-CN"/>
                    </w:rPr>
                  </w:pPr>
                  <w:r>
                    <w:rPr>
                      <w:rFonts w:hint="eastAsia"/>
                      <w:lang w:val="en-US" w:eastAsia="zh-CN"/>
                    </w:rPr>
                    <w:t>S</w:t>
                  </w:r>
                  <w:r>
                    <w:rPr>
                      <w:lang w:val="en-US" w:eastAsia="zh-CN"/>
                    </w:rPr>
                    <w:t>uggested ACLR (dBc)</w:t>
                  </w:r>
                </w:p>
              </w:tc>
            </w:tr>
            <w:tr w:rsidR="006355E3" w14:paraId="3F869359" w14:textId="77777777" w:rsidTr="00655871">
              <w:tc>
                <w:tcPr>
                  <w:tcW w:w="4814" w:type="dxa"/>
                </w:tcPr>
                <w:p w14:paraId="6F924D25" w14:textId="77777777" w:rsidR="006355E3" w:rsidRDefault="006355E3" w:rsidP="006355E3">
                  <w:pPr>
                    <w:rPr>
                      <w:lang w:val="en-US" w:eastAsia="zh-CN"/>
                    </w:rPr>
                  </w:pPr>
                  <w:r>
                    <w:rPr>
                      <w:rFonts w:hint="eastAsia"/>
                      <w:lang w:val="en-US" w:eastAsia="zh-CN"/>
                    </w:rPr>
                    <w:t>3</w:t>
                  </w:r>
                </w:p>
              </w:tc>
              <w:tc>
                <w:tcPr>
                  <w:tcW w:w="4815" w:type="dxa"/>
                </w:tcPr>
                <w:p w14:paraId="5AA67941" w14:textId="77777777" w:rsidR="006355E3" w:rsidRDefault="006355E3" w:rsidP="006355E3">
                  <w:pPr>
                    <w:rPr>
                      <w:lang w:val="en-US" w:eastAsia="zh-CN"/>
                    </w:rPr>
                  </w:pPr>
                  <w:r>
                    <w:rPr>
                      <w:rFonts w:hint="eastAsia"/>
                      <w:lang w:val="en-US" w:eastAsia="zh-CN"/>
                    </w:rPr>
                    <w:t>2</w:t>
                  </w:r>
                  <w:r>
                    <w:rPr>
                      <w:lang w:val="en-US" w:eastAsia="zh-CN"/>
                    </w:rPr>
                    <w:t>1.9</w:t>
                  </w:r>
                </w:p>
              </w:tc>
            </w:tr>
            <w:tr w:rsidR="006355E3" w14:paraId="14916C86" w14:textId="77777777" w:rsidTr="00655871">
              <w:tc>
                <w:tcPr>
                  <w:tcW w:w="4814" w:type="dxa"/>
                </w:tcPr>
                <w:p w14:paraId="28CF83EB" w14:textId="77777777" w:rsidR="006355E3" w:rsidRDefault="006355E3" w:rsidP="006355E3">
                  <w:pPr>
                    <w:rPr>
                      <w:lang w:val="en-US" w:eastAsia="zh-CN"/>
                    </w:rPr>
                  </w:pPr>
                  <w:r>
                    <w:rPr>
                      <w:rFonts w:hint="eastAsia"/>
                      <w:lang w:val="en-US" w:eastAsia="zh-CN"/>
                    </w:rPr>
                    <w:t>2</w:t>
                  </w:r>
                </w:p>
              </w:tc>
              <w:tc>
                <w:tcPr>
                  <w:tcW w:w="4815" w:type="dxa"/>
                </w:tcPr>
                <w:p w14:paraId="3C0485E5" w14:textId="77777777" w:rsidR="006355E3" w:rsidRDefault="006355E3" w:rsidP="006355E3">
                  <w:pPr>
                    <w:rPr>
                      <w:lang w:val="en-US" w:eastAsia="zh-CN"/>
                    </w:rPr>
                  </w:pPr>
                  <w:r>
                    <w:rPr>
                      <w:rFonts w:hint="eastAsia"/>
                      <w:lang w:val="en-US" w:eastAsia="zh-CN"/>
                    </w:rPr>
                    <w:t>2</w:t>
                  </w:r>
                  <w:r>
                    <w:rPr>
                      <w:lang w:val="en-US" w:eastAsia="zh-CN"/>
                    </w:rPr>
                    <w:t>4.5</w:t>
                  </w:r>
                </w:p>
              </w:tc>
            </w:tr>
            <w:tr w:rsidR="006355E3" w14:paraId="55CE0DC8" w14:textId="77777777" w:rsidTr="00655871">
              <w:tc>
                <w:tcPr>
                  <w:tcW w:w="4814" w:type="dxa"/>
                </w:tcPr>
                <w:p w14:paraId="29FD0B5A" w14:textId="77777777" w:rsidR="006355E3" w:rsidRDefault="006355E3" w:rsidP="006355E3">
                  <w:pPr>
                    <w:rPr>
                      <w:lang w:val="en-US" w:eastAsia="zh-CN"/>
                    </w:rPr>
                  </w:pPr>
                  <w:r>
                    <w:rPr>
                      <w:rFonts w:hint="eastAsia"/>
                      <w:lang w:val="en-US" w:eastAsia="zh-CN"/>
                    </w:rPr>
                    <w:t>1</w:t>
                  </w:r>
                </w:p>
              </w:tc>
              <w:tc>
                <w:tcPr>
                  <w:tcW w:w="4815" w:type="dxa"/>
                </w:tcPr>
                <w:p w14:paraId="6BA937C9" w14:textId="77777777" w:rsidR="006355E3" w:rsidRDefault="006355E3" w:rsidP="006355E3">
                  <w:pPr>
                    <w:rPr>
                      <w:lang w:val="en-US" w:eastAsia="zh-CN"/>
                    </w:rPr>
                  </w:pPr>
                  <w:r>
                    <w:rPr>
                      <w:lang w:val="en-US" w:eastAsia="zh-CN"/>
                    </w:rPr>
                    <w:t>28.9</w:t>
                  </w:r>
                </w:p>
              </w:tc>
            </w:tr>
          </w:tbl>
          <w:p w14:paraId="0715C3AF" w14:textId="77777777" w:rsidR="00B420B2" w:rsidRDefault="00B420B2" w:rsidP="00655871">
            <w:pPr>
              <w:rPr>
                <w:lang w:val="sv-SE" w:eastAsia="zh-CN"/>
              </w:rPr>
            </w:pPr>
          </w:p>
        </w:tc>
      </w:tr>
    </w:tbl>
    <w:p w14:paraId="5F1D24FE" w14:textId="77777777" w:rsidR="00B420B2" w:rsidRDefault="00B420B2" w:rsidP="00B420B2">
      <w:pPr>
        <w:rPr>
          <w:lang w:val="sv-SE" w:eastAsia="zh-CN"/>
        </w:rPr>
      </w:pPr>
    </w:p>
    <w:p w14:paraId="7C211FAD" w14:textId="3AA55E1B" w:rsidR="00B420B2" w:rsidRDefault="00B420B2" w:rsidP="00B420B2">
      <w:pPr>
        <w:rPr>
          <w:lang w:val="sv-SE" w:eastAsia="zh-CN"/>
        </w:rPr>
      </w:pPr>
      <w:r w:rsidRPr="007020D0">
        <w:rPr>
          <w:rFonts w:hint="eastAsia"/>
          <w:b/>
          <w:lang w:val="sv-SE" w:eastAsia="zh-CN"/>
        </w:rPr>
        <w:t>O</w:t>
      </w:r>
      <w:r w:rsidRPr="007020D0">
        <w:rPr>
          <w:b/>
          <w:lang w:val="sv-SE" w:eastAsia="zh-CN"/>
        </w:rPr>
        <w:t>bservation 1</w:t>
      </w:r>
      <w:r>
        <w:rPr>
          <w:lang w:val="sv-SE" w:eastAsia="zh-CN"/>
        </w:rPr>
        <w:t>: The suggested ACLR for PC 2 is 2</w:t>
      </w:r>
      <w:r w:rsidR="006355E3">
        <w:rPr>
          <w:lang w:val="sv-SE" w:eastAsia="zh-CN"/>
        </w:rPr>
        <w:t>4.5</w:t>
      </w:r>
      <w:r>
        <w:rPr>
          <w:lang w:val="sv-SE" w:eastAsia="zh-CN"/>
        </w:rPr>
        <w:t xml:space="preserve"> dBc; and </w:t>
      </w:r>
      <w:r w:rsidR="006355E3">
        <w:rPr>
          <w:lang w:val="sv-SE" w:eastAsia="zh-CN"/>
        </w:rPr>
        <w:t>28.9</w:t>
      </w:r>
      <w:r>
        <w:rPr>
          <w:lang w:val="sv-SE" w:eastAsia="zh-CN"/>
        </w:rPr>
        <w:t xml:space="preserve"> dBc for PC1 from our study results.</w:t>
      </w:r>
    </w:p>
    <w:p w14:paraId="1DC93645" w14:textId="77777777" w:rsidR="00B420B2" w:rsidRPr="00140F48" w:rsidRDefault="00B420B2" w:rsidP="00B420B2">
      <w:pPr>
        <w:rPr>
          <w:lang w:val="sv-SE" w:eastAsia="zh-CN"/>
        </w:rPr>
      </w:pPr>
    </w:p>
    <w:p w14:paraId="0DAAA2B0" w14:textId="1B62B048" w:rsidR="00B420B2" w:rsidRDefault="00B420B2" w:rsidP="006355E3">
      <w:pPr>
        <w:rPr>
          <w:b/>
          <w:lang w:val="en-US" w:eastAsia="zh-CN"/>
        </w:rPr>
      </w:pPr>
      <w:r>
        <w:rPr>
          <w:rFonts w:hint="eastAsia"/>
          <w:lang w:val="en-US" w:eastAsia="zh-CN"/>
        </w:rPr>
        <w:t>I</w:t>
      </w:r>
      <w:r>
        <w:rPr>
          <w:lang w:val="en-US" w:eastAsia="zh-CN"/>
        </w:rPr>
        <w:t>n Rel-1</w:t>
      </w:r>
      <w:r w:rsidR="006355E3">
        <w:rPr>
          <w:lang w:val="en-US" w:eastAsia="zh-CN"/>
        </w:rPr>
        <w:t>8</w:t>
      </w:r>
      <w:r>
        <w:rPr>
          <w:lang w:val="en-US" w:eastAsia="zh-CN"/>
        </w:rPr>
        <w:t xml:space="preserve">, the </w:t>
      </w:r>
      <w:r w:rsidR="006355E3">
        <w:rPr>
          <w:lang w:val="en-US" w:eastAsia="zh-CN"/>
        </w:rPr>
        <w:t>IoT</w:t>
      </w:r>
      <w:r>
        <w:rPr>
          <w:lang w:val="en-US" w:eastAsia="zh-CN"/>
        </w:rPr>
        <w:t xml:space="preserve">-NTN UE ACLR/ACS were agreed to use the </w:t>
      </w:r>
      <w:r w:rsidR="006355E3">
        <w:rPr>
          <w:lang w:val="en-US" w:eastAsia="zh-CN"/>
        </w:rPr>
        <w:t>IoT</w:t>
      </w:r>
      <w:r>
        <w:rPr>
          <w:lang w:val="en-US" w:eastAsia="zh-CN"/>
        </w:rPr>
        <w:t>-TN UE ACLR and ACS requirements, and it was bas</w:t>
      </w:r>
      <w:r w:rsidR="006355E3">
        <w:rPr>
          <w:lang w:val="en-US" w:eastAsia="zh-CN"/>
        </w:rPr>
        <w:t>ed on the assumptions that the IoT</w:t>
      </w:r>
      <w:r>
        <w:rPr>
          <w:lang w:val="en-US" w:eastAsia="zh-CN"/>
        </w:rPr>
        <w:t xml:space="preserve">-NTN UE (PC3) will re-use the legacy </w:t>
      </w:r>
      <w:r w:rsidR="006355E3">
        <w:rPr>
          <w:lang w:val="en-US" w:eastAsia="zh-CN"/>
        </w:rPr>
        <w:t>NB-IoT or eMTC</w:t>
      </w:r>
      <w:r>
        <w:rPr>
          <w:lang w:val="en-US" w:eastAsia="zh-CN"/>
        </w:rPr>
        <w:t xml:space="preserve"> UEs, and its RF architectures and designs. </w:t>
      </w:r>
    </w:p>
    <w:p w14:paraId="59CD54FF" w14:textId="0B9E04B9" w:rsidR="00B420B2" w:rsidRDefault="00B420B2" w:rsidP="00B420B2">
      <w:pPr>
        <w:rPr>
          <w:lang w:val="en-US" w:eastAsia="zh-CN"/>
        </w:rPr>
      </w:pPr>
      <w:r>
        <w:rPr>
          <w:rFonts w:hint="eastAsia"/>
          <w:lang w:val="en-US" w:eastAsia="zh-CN"/>
        </w:rPr>
        <w:t>H</w:t>
      </w:r>
      <w:r>
        <w:rPr>
          <w:lang w:val="en-US" w:eastAsia="zh-CN"/>
        </w:rPr>
        <w:t xml:space="preserve">owever, with the further development and enhancement of </w:t>
      </w:r>
      <w:r w:rsidR="006355E3">
        <w:rPr>
          <w:lang w:val="en-US" w:eastAsia="zh-CN"/>
        </w:rPr>
        <w:t>IoT</w:t>
      </w:r>
      <w:r>
        <w:rPr>
          <w:lang w:val="en-US" w:eastAsia="zh-CN"/>
        </w:rPr>
        <w:t xml:space="preserve">-NTN in last </w:t>
      </w:r>
      <w:r w:rsidR="006355E3">
        <w:rPr>
          <w:lang w:val="en-US" w:eastAsia="zh-CN"/>
        </w:rPr>
        <w:t xml:space="preserve">and current on-going </w:t>
      </w:r>
      <w:r>
        <w:rPr>
          <w:lang w:val="en-US" w:eastAsia="zh-CN"/>
        </w:rPr>
        <w:t>releases, the HPUE NTN in this WI</w:t>
      </w:r>
      <w:r w:rsidR="006355E3">
        <w:rPr>
          <w:lang w:val="en-US" w:eastAsia="zh-CN"/>
        </w:rPr>
        <w:t xml:space="preserve"> may not</w:t>
      </w:r>
      <w:r>
        <w:rPr>
          <w:lang w:val="en-US" w:eastAsia="zh-CN"/>
        </w:rPr>
        <w:t xml:space="preserve"> re-use the existing HPUE TN devices and i</w:t>
      </w:r>
      <w:r w:rsidR="006355E3">
        <w:rPr>
          <w:lang w:val="en-US" w:eastAsia="zh-CN"/>
        </w:rPr>
        <w:t>ts RF architectures/components.</w:t>
      </w:r>
    </w:p>
    <w:p w14:paraId="4827ED92" w14:textId="62AA20CB" w:rsidR="006355E3" w:rsidRDefault="006355E3" w:rsidP="00B420B2">
      <w:pPr>
        <w:rPr>
          <w:lang w:val="en-US" w:eastAsia="zh-CN"/>
        </w:rPr>
      </w:pPr>
      <w:r>
        <w:rPr>
          <w:lang w:val="en-US" w:eastAsia="zh-CN"/>
        </w:rPr>
        <w:t>Moreover, in TN spec, there is no HPUE for IoT, so there’s no existing ACLR/ACS requirements for PC2 or PC1.</w:t>
      </w:r>
    </w:p>
    <w:p w14:paraId="2C24DA68" w14:textId="6FF3DAA2" w:rsidR="00B420B2" w:rsidRDefault="00B420B2" w:rsidP="00B420B2">
      <w:pPr>
        <w:rPr>
          <w:lang w:val="en-US" w:eastAsia="zh-CN"/>
        </w:rPr>
      </w:pPr>
    </w:p>
    <w:p w14:paraId="1CDB9E7A" w14:textId="0565F847" w:rsidR="00B420B2" w:rsidRPr="00994040" w:rsidRDefault="00B420B2" w:rsidP="00B420B2">
      <w:pPr>
        <w:rPr>
          <w:b/>
          <w:lang w:val="en-US" w:eastAsia="zh-CN"/>
        </w:rPr>
      </w:pPr>
      <w:r w:rsidRPr="00994040">
        <w:rPr>
          <w:b/>
          <w:lang w:val="en-US" w:eastAsia="zh-CN"/>
        </w:rPr>
        <w:lastRenderedPageBreak/>
        <w:t xml:space="preserve">Proposal 1: </w:t>
      </w:r>
      <w:r>
        <w:rPr>
          <w:b/>
          <w:lang w:val="en-US" w:eastAsia="zh-CN"/>
        </w:rPr>
        <w:t>Based on our co-ex study results, we suggest ACLR for</w:t>
      </w:r>
      <w:r w:rsidR="006355E3">
        <w:rPr>
          <w:b/>
          <w:lang w:val="en-US" w:eastAsia="zh-CN"/>
        </w:rPr>
        <w:t xml:space="preserve"> NB IoT</w:t>
      </w:r>
      <w:r>
        <w:rPr>
          <w:b/>
          <w:lang w:val="en-US" w:eastAsia="zh-CN"/>
        </w:rPr>
        <w:t>-NTN HPUE PC2 can be 2</w:t>
      </w:r>
      <w:r w:rsidR="006355E3">
        <w:rPr>
          <w:b/>
          <w:lang w:val="en-US" w:eastAsia="zh-CN"/>
        </w:rPr>
        <w:t>4.5</w:t>
      </w:r>
      <w:r>
        <w:rPr>
          <w:b/>
          <w:lang w:val="en-US" w:eastAsia="zh-CN"/>
        </w:rPr>
        <w:t xml:space="preserve"> dBc. And this can apply to both handheld and non-handheld devices.</w:t>
      </w:r>
    </w:p>
    <w:p w14:paraId="305B67DE" w14:textId="77777777" w:rsidR="00B420B2" w:rsidRDefault="00B420B2" w:rsidP="00B420B2">
      <w:pPr>
        <w:rPr>
          <w:lang w:val="en-US" w:eastAsia="zh-CN"/>
        </w:rPr>
      </w:pPr>
    </w:p>
    <w:p w14:paraId="3DAC764E" w14:textId="77777777" w:rsidR="00B420B2" w:rsidRPr="005B0003" w:rsidRDefault="00B420B2" w:rsidP="00B420B2">
      <w:pPr>
        <w:rPr>
          <w:b/>
          <w:u w:val="single"/>
          <w:lang w:val="en-US" w:eastAsia="zh-CN"/>
        </w:rPr>
      </w:pPr>
      <w:r w:rsidRPr="005B0003">
        <w:rPr>
          <w:rFonts w:hint="eastAsia"/>
          <w:b/>
          <w:u w:val="single"/>
          <w:lang w:val="en-US" w:eastAsia="zh-CN"/>
        </w:rPr>
        <w:t>M</w:t>
      </w:r>
      <w:r w:rsidRPr="005B0003">
        <w:rPr>
          <w:b/>
          <w:u w:val="single"/>
          <w:lang w:val="en-US" w:eastAsia="zh-CN"/>
        </w:rPr>
        <w:t>PR:</w:t>
      </w:r>
    </w:p>
    <w:p w14:paraId="1C437331" w14:textId="1C1EA1C8" w:rsidR="00B420B2" w:rsidRDefault="00B420B2" w:rsidP="00B420B2">
      <w:pPr>
        <w:rPr>
          <w:lang w:val="sv-SE" w:eastAsia="zh-CN"/>
        </w:rPr>
      </w:pPr>
      <w:r>
        <w:rPr>
          <w:lang w:val="sv-SE" w:eastAsia="zh-CN"/>
        </w:rPr>
        <w:t>In last meeting, we have agreed on the principles to dis</w:t>
      </w:r>
      <w:r w:rsidR="00B65EF0">
        <w:rPr>
          <w:lang w:val="sv-SE" w:eastAsia="zh-CN"/>
        </w:rPr>
        <w:t>cuss the MPR requirements for IoT</w:t>
      </w:r>
      <w:r>
        <w:rPr>
          <w:lang w:val="sv-SE" w:eastAsia="zh-CN"/>
        </w:rPr>
        <w:t>-NTN HPUE, which are as follows:</w:t>
      </w:r>
    </w:p>
    <w:tbl>
      <w:tblPr>
        <w:tblStyle w:val="a5"/>
        <w:tblW w:w="0" w:type="auto"/>
        <w:tblLook w:val="04A0" w:firstRow="1" w:lastRow="0" w:firstColumn="1" w:lastColumn="0" w:noHBand="0" w:noVBand="1"/>
      </w:tblPr>
      <w:tblGrid>
        <w:gridCol w:w="9629"/>
      </w:tblGrid>
      <w:tr w:rsidR="00B420B2" w14:paraId="31313F4E" w14:textId="77777777" w:rsidTr="00655871">
        <w:tc>
          <w:tcPr>
            <w:tcW w:w="9629" w:type="dxa"/>
          </w:tcPr>
          <w:p w14:paraId="62A6E502" w14:textId="77777777" w:rsidR="00B420B2" w:rsidRPr="005C0951" w:rsidRDefault="00B420B2" w:rsidP="00655871">
            <w:pPr>
              <w:rPr>
                <w:b/>
                <w:u w:val="single"/>
                <w:lang w:eastAsia="ko-KR"/>
              </w:rPr>
            </w:pPr>
            <w:r w:rsidRPr="005C0951">
              <w:rPr>
                <w:b/>
                <w:u w:val="single"/>
                <w:lang w:eastAsia="ko-KR"/>
              </w:rPr>
              <w:t xml:space="preserve">Issue 3-3-2: </w:t>
            </w:r>
            <w:r w:rsidRPr="005C0951">
              <w:rPr>
                <w:b/>
                <w:u w:val="single"/>
                <w:lang w:eastAsia="zh-CN"/>
              </w:rPr>
              <w:t>MPR</w:t>
            </w:r>
          </w:p>
          <w:p w14:paraId="37AC5F22" w14:textId="77777777" w:rsidR="00B420B2" w:rsidRPr="005C0951" w:rsidRDefault="00B420B2" w:rsidP="00655871">
            <w:pPr>
              <w:pStyle w:val="a6"/>
              <w:widowControl/>
              <w:numPr>
                <w:ilvl w:val="0"/>
                <w:numId w:val="1"/>
              </w:numPr>
              <w:spacing w:before="0" w:after="120" w:line="240" w:lineRule="auto"/>
              <w:ind w:left="720" w:firstLineChars="0"/>
              <w:jc w:val="left"/>
              <w:rPr>
                <w:b/>
              </w:rPr>
            </w:pPr>
            <w:r w:rsidRPr="005C0951">
              <w:rPr>
                <w:rFonts w:hint="eastAsia"/>
                <w:b/>
              </w:rPr>
              <w:t>A</w:t>
            </w:r>
            <w:r w:rsidRPr="005C0951">
              <w:rPr>
                <w:b/>
              </w:rPr>
              <w:t>greement:</w:t>
            </w:r>
          </w:p>
          <w:p w14:paraId="6ACA7A49" w14:textId="77777777" w:rsidR="00B420B2" w:rsidRPr="005C0951" w:rsidRDefault="00B420B2" w:rsidP="00655871">
            <w:pPr>
              <w:pStyle w:val="a6"/>
              <w:widowControl/>
              <w:numPr>
                <w:ilvl w:val="1"/>
                <w:numId w:val="1"/>
              </w:numPr>
              <w:spacing w:before="0" w:after="120" w:line="240" w:lineRule="auto"/>
              <w:ind w:left="1440" w:firstLineChars="0"/>
              <w:jc w:val="left"/>
            </w:pPr>
            <w:r w:rsidRPr="005C0951">
              <w:t>FFS the MPR requirements. Following potential factors to be further discussed:</w:t>
            </w:r>
          </w:p>
          <w:p w14:paraId="74C221AD" w14:textId="77777777" w:rsidR="00B420B2" w:rsidRPr="005C0951" w:rsidRDefault="00B420B2" w:rsidP="00655871">
            <w:pPr>
              <w:pStyle w:val="a6"/>
              <w:widowControl/>
              <w:numPr>
                <w:ilvl w:val="2"/>
                <w:numId w:val="1"/>
              </w:numPr>
              <w:spacing w:before="0" w:after="120" w:line="240" w:lineRule="auto"/>
              <w:ind w:left="2376" w:firstLineChars="0"/>
              <w:jc w:val="left"/>
            </w:pPr>
            <w:r w:rsidRPr="005C0951">
              <w:rPr>
                <w:rFonts w:hint="eastAsia"/>
              </w:rPr>
              <w:t>A</w:t>
            </w:r>
            <w:r w:rsidRPr="005C0951">
              <w:t>CLR from co-existence study</w:t>
            </w:r>
          </w:p>
          <w:p w14:paraId="5692DE0F" w14:textId="77777777" w:rsidR="00B420B2" w:rsidRPr="005C0951" w:rsidRDefault="00B420B2" w:rsidP="00655871">
            <w:pPr>
              <w:pStyle w:val="a6"/>
              <w:widowControl/>
              <w:numPr>
                <w:ilvl w:val="2"/>
                <w:numId w:val="1"/>
              </w:numPr>
              <w:spacing w:before="0" w:after="120" w:line="240" w:lineRule="auto"/>
              <w:ind w:left="2376" w:firstLineChars="0"/>
              <w:jc w:val="left"/>
            </w:pPr>
            <w:r w:rsidRPr="005C0951">
              <w:t>Current TN MPR requirements</w:t>
            </w:r>
          </w:p>
          <w:p w14:paraId="5B5DDB29" w14:textId="77777777" w:rsidR="00B420B2" w:rsidRPr="005C0951" w:rsidRDefault="00B420B2" w:rsidP="00655871">
            <w:pPr>
              <w:pStyle w:val="a6"/>
              <w:widowControl/>
              <w:numPr>
                <w:ilvl w:val="2"/>
                <w:numId w:val="1"/>
              </w:numPr>
              <w:spacing w:before="0" w:after="120" w:line="240" w:lineRule="auto"/>
              <w:ind w:left="2376" w:firstLineChars="0"/>
              <w:jc w:val="left"/>
            </w:pPr>
            <w:r w:rsidRPr="005C0951">
              <w:t xml:space="preserve">MPR simulation assumptions </w:t>
            </w:r>
          </w:p>
          <w:p w14:paraId="3AAD9B72" w14:textId="77777777" w:rsidR="00B420B2" w:rsidRPr="007E5D39" w:rsidRDefault="00B420B2" w:rsidP="00655871">
            <w:pPr>
              <w:pStyle w:val="a6"/>
              <w:widowControl/>
              <w:numPr>
                <w:ilvl w:val="2"/>
                <w:numId w:val="1"/>
              </w:numPr>
              <w:spacing w:before="0" w:after="120" w:line="240" w:lineRule="auto"/>
              <w:ind w:left="2376" w:firstLineChars="0"/>
              <w:jc w:val="left"/>
            </w:pPr>
            <w:r w:rsidRPr="005C0951">
              <w:t>Other factors not precluded if identified.</w:t>
            </w:r>
          </w:p>
        </w:tc>
      </w:tr>
    </w:tbl>
    <w:p w14:paraId="36B22C03" w14:textId="6C4F3811" w:rsidR="00C70A01" w:rsidRDefault="00C70A01" w:rsidP="00B420B2">
      <w:pPr>
        <w:rPr>
          <w:lang w:val="sv-SE" w:eastAsia="zh-CN"/>
        </w:rPr>
      </w:pPr>
    </w:p>
    <w:p w14:paraId="128343B9" w14:textId="11E21F87" w:rsidR="00C70A01" w:rsidRDefault="00B420B2" w:rsidP="00B420B2">
      <w:pPr>
        <w:rPr>
          <w:lang w:val="sv-SE" w:eastAsia="zh-CN"/>
        </w:rPr>
      </w:pPr>
      <w:r>
        <w:rPr>
          <w:rFonts w:hint="eastAsia"/>
          <w:lang w:val="sv-SE" w:eastAsia="zh-CN"/>
        </w:rPr>
        <w:t>G</w:t>
      </w:r>
      <w:r>
        <w:rPr>
          <w:lang w:val="sv-SE" w:eastAsia="zh-CN"/>
        </w:rPr>
        <w:t xml:space="preserve">iven in our proposal 1, we have proposed to adopt </w:t>
      </w:r>
      <w:r w:rsidR="006355E3">
        <w:rPr>
          <w:lang w:val="sv-SE" w:eastAsia="zh-CN"/>
        </w:rPr>
        <w:t>24.5</w:t>
      </w:r>
      <w:r>
        <w:rPr>
          <w:lang w:val="sv-SE" w:eastAsia="zh-CN"/>
        </w:rPr>
        <w:t xml:space="preserve"> dBc, which is a lower value compared to the </w:t>
      </w:r>
      <w:r w:rsidR="00C70A01">
        <w:rPr>
          <w:lang w:val="sv-SE" w:eastAsia="zh-CN"/>
        </w:rPr>
        <w:t>IoT-NTN PC3</w:t>
      </w:r>
      <w:r>
        <w:rPr>
          <w:lang w:val="sv-SE" w:eastAsia="zh-CN"/>
        </w:rPr>
        <w:t xml:space="preserve"> ACLR requirements in 3</w:t>
      </w:r>
      <w:r w:rsidR="00C70A01">
        <w:rPr>
          <w:lang w:val="sv-SE" w:eastAsia="zh-CN"/>
        </w:rPr>
        <w:t>6.102 as shown below.</w:t>
      </w:r>
    </w:p>
    <w:tbl>
      <w:tblPr>
        <w:tblStyle w:val="a5"/>
        <w:tblW w:w="0" w:type="auto"/>
        <w:tblLook w:val="04A0" w:firstRow="1" w:lastRow="0" w:firstColumn="1" w:lastColumn="0" w:noHBand="0" w:noVBand="1"/>
      </w:tblPr>
      <w:tblGrid>
        <w:gridCol w:w="9629"/>
      </w:tblGrid>
      <w:tr w:rsidR="00C70A01" w14:paraId="2F1CF8F1" w14:textId="77777777" w:rsidTr="00C70A01">
        <w:tc>
          <w:tcPr>
            <w:tcW w:w="9629" w:type="dxa"/>
          </w:tcPr>
          <w:p w14:paraId="4A33BA6C" w14:textId="77777777" w:rsidR="00C70A01" w:rsidRDefault="00C70A01" w:rsidP="00C70A01">
            <w:pPr>
              <w:pStyle w:val="TH"/>
              <w:rPr>
                <w:rFonts w:eastAsia="Times New Roman"/>
              </w:rPr>
            </w:pPr>
            <w:r>
              <w:t>Table 6.5B.3.4-1: category NB1 and NB2 UE ACLR requirements</w:t>
            </w:r>
          </w:p>
          <w:tbl>
            <w:tblPr>
              <w:tblW w:w="5038" w:type="dxa"/>
              <w:jc w:val="center"/>
              <w:tblLook w:val="04A0" w:firstRow="1" w:lastRow="0" w:firstColumn="1" w:lastColumn="0" w:noHBand="0" w:noVBand="1"/>
            </w:tblPr>
            <w:tblGrid>
              <w:gridCol w:w="2420"/>
              <w:gridCol w:w="1309"/>
              <w:gridCol w:w="1309"/>
            </w:tblGrid>
            <w:tr w:rsidR="00C70A01" w14:paraId="1DD59303" w14:textId="77777777" w:rsidTr="00C70A01">
              <w:trPr>
                <w:trHeight w:val="288"/>
                <w:jc w:val="center"/>
              </w:trPr>
              <w:tc>
                <w:tcPr>
                  <w:tcW w:w="2420" w:type="dxa"/>
                  <w:tcBorders>
                    <w:top w:val="single" w:sz="4" w:space="0" w:color="auto"/>
                    <w:left w:val="single" w:sz="4" w:space="0" w:color="auto"/>
                    <w:bottom w:val="single" w:sz="4" w:space="0" w:color="auto"/>
                    <w:right w:val="single" w:sz="4" w:space="0" w:color="auto"/>
                  </w:tcBorders>
                  <w:noWrap/>
                  <w:vAlign w:val="center"/>
                  <w:hideMark/>
                </w:tcPr>
                <w:p w14:paraId="3D83AFC1" w14:textId="77777777" w:rsidR="00C70A01" w:rsidRDefault="00C70A01" w:rsidP="00C70A01"/>
              </w:tc>
              <w:tc>
                <w:tcPr>
                  <w:tcW w:w="1309" w:type="dxa"/>
                  <w:tcBorders>
                    <w:top w:val="single" w:sz="4" w:space="0" w:color="auto"/>
                    <w:left w:val="nil"/>
                    <w:bottom w:val="single" w:sz="4" w:space="0" w:color="auto"/>
                    <w:right w:val="single" w:sz="4" w:space="0" w:color="auto"/>
                  </w:tcBorders>
                  <w:noWrap/>
                  <w:vAlign w:val="center"/>
                  <w:hideMark/>
                </w:tcPr>
                <w:p w14:paraId="7FFA55E0" w14:textId="77777777" w:rsidR="00C70A01" w:rsidRDefault="00C70A01" w:rsidP="00C70A01">
                  <w:pPr>
                    <w:pStyle w:val="TAH"/>
                    <w:rPr>
                      <w:rFonts w:eastAsia="Times New Roman" w:cs="Arial"/>
                      <w:bCs/>
                      <w:lang w:val="en-US" w:eastAsia="ja-JP"/>
                    </w:rPr>
                  </w:pPr>
                  <w:r>
                    <w:rPr>
                      <w:rFonts w:cs="Arial"/>
                      <w:bCs/>
                      <w:lang w:eastAsia="ja-JP"/>
                    </w:rPr>
                    <w:t>GSM</w:t>
                  </w:r>
                  <w:r>
                    <w:rPr>
                      <w:rFonts w:cs="Arial"/>
                      <w:bCs/>
                      <w:vertAlign w:val="subscript"/>
                      <w:lang w:val="en-US" w:eastAsia="ja-JP"/>
                    </w:rPr>
                    <w:t>ACLR</w:t>
                  </w:r>
                </w:p>
              </w:tc>
              <w:tc>
                <w:tcPr>
                  <w:tcW w:w="1309" w:type="dxa"/>
                  <w:tcBorders>
                    <w:top w:val="single" w:sz="4" w:space="0" w:color="auto"/>
                    <w:left w:val="nil"/>
                    <w:bottom w:val="single" w:sz="4" w:space="0" w:color="auto"/>
                    <w:right w:val="single" w:sz="4" w:space="0" w:color="auto"/>
                  </w:tcBorders>
                  <w:noWrap/>
                  <w:vAlign w:val="center"/>
                  <w:hideMark/>
                </w:tcPr>
                <w:p w14:paraId="41BD7F9D" w14:textId="77777777" w:rsidR="00C70A01" w:rsidRDefault="00C70A01" w:rsidP="00C70A01">
                  <w:pPr>
                    <w:pStyle w:val="TAH"/>
                    <w:rPr>
                      <w:rFonts w:cs="Arial"/>
                      <w:bCs/>
                      <w:lang w:eastAsia="ja-JP"/>
                    </w:rPr>
                  </w:pPr>
                  <w:r>
                    <w:rPr>
                      <w:rFonts w:cs="Arial"/>
                      <w:bCs/>
                      <w:lang w:eastAsia="ja-JP"/>
                    </w:rPr>
                    <w:t>UTRA</w:t>
                  </w:r>
                  <w:r>
                    <w:rPr>
                      <w:rFonts w:cs="Arial"/>
                      <w:bCs/>
                      <w:vertAlign w:val="subscript"/>
                      <w:lang w:val="en-US" w:eastAsia="ja-JP"/>
                    </w:rPr>
                    <w:t>ACLR</w:t>
                  </w:r>
                </w:p>
              </w:tc>
            </w:tr>
            <w:tr w:rsidR="00C70A01" w14:paraId="0A9E091D" w14:textId="77777777" w:rsidTr="00C70A01">
              <w:trPr>
                <w:trHeight w:val="288"/>
                <w:jc w:val="center"/>
              </w:trPr>
              <w:tc>
                <w:tcPr>
                  <w:tcW w:w="2420" w:type="dxa"/>
                  <w:tcBorders>
                    <w:top w:val="nil"/>
                    <w:left w:val="single" w:sz="4" w:space="0" w:color="auto"/>
                    <w:bottom w:val="single" w:sz="4" w:space="0" w:color="auto"/>
                    <w:right w:val="single" w:sz="4" w:space="0" w:color="auto"/>
                  </w:tcBorders>
                  <w:noWrap/>
                  <w:vAlign w:val="center"/>
                  <w:hideMark/>
                </w:tcPr>
                <w:p w14:paraId="25759FED" w14:textId="77777777" w:rsidR="00C70A01" w:rsidRDefault="00C70A01" w:rsidP="00C70A01">
                  <w:pPr>
                    <w:pStyle w:val="TAH"/>
                    <w:rPr>
                      <w:rFonts w:cs="Arial"/>
                      <w:lang w:eastAsia="ja-JP"/>
                    </w:rPr>
                  </w:pPr>
                  <w:r>
                    <w:rPr>
                      <w:rFonts w:cs="Arial"/>
                      <w:lang w:eastAsia="ja-JP"/>
                    </w:rPr>
                    <w:t>ACLR</w:t>
                  </w:r>
                </w:p>
              </w:tc>
              <w:tc>
                <w:tcPr>
                  <w:tcW w:w="1309" w:type="dxa"/>
                  <w:tcBorders>
                    <w:top w:val="nil"/>
                    <w:left w:val="nil"/>
                    <w:bottom w:val="single" w:sz="4" w:space="0" w:color="auto"/>
                    <w:right w:val="single" w:sz="4" w:space="0" w:color="auto"/>
                  </w:tcBorders>
                  <w:noWrap/>
                  <w:vAlign w:val="center"/>
                  <w:hideMark/>
                </w:tcPr>
                <w:p w14:paraId="2C8505AA" w14:textId="77777777" w:rsidR="00C70A01" w:rsidRDefault="00C70A01" w:rsidP="00C70A01">
                  <w:pPr>
                    <w:pStyle w:val="TAC"/>
                    <w:rPr>
                      <w:rFonts w:cs="Arial"/>
                      <w:lang w:eastAsia="ja-JP"/>
                    </w:rPr>
                  </w:pPr>
                  <w:r>
                    <w:rPr>
                      <w:rFonts w:cs="Arial"/>
                      <w:lang w:eastAsia="ja-JP"/>
                    </w:rPr>
                    <w:t>20 dB</w:t>
                  </w:r>
                </w:p>
              </w:tc>
              <w:tc>
                <w:tcPr>
                  <w:tcW w:w="1309" w:type="dxa"/>
                  <w:tcBorders>
                    <w:top w:val="nil"/>
                    <w:left w:val="nil"/>
                    <w:bottom w:val="single" w:sz="4" w:space="0" w:color="auto"/>
                    <w:right w:val="single" w:sz="4" w:space="0" w:color="auto"/>
                  </w:tcBorders>
                  <w:noWrap/>
                  <w:vAlign w:val="center"/>
                  <w:hideMark/>
                </w:tcPr>
                <w:p w14:paraId="063717F0" w14:textId="77777777" w:rsidR="00C70A01" w:rsidRDefault="00C70A01" w:rsidP="00C70A01">
                  <w:pPr>
                    <w:pStyle w:val="TAC"/>
                    <w:rPr>
                      <w:rFonts w:cs="Arial"/>
                      <w:lang w:eastAsia="ja-JP"/>
                    </w:rPr>
                  </w:pPr>
                  <w:r>
                    <w:rPr>
                      <w:rFonts w:cs="Arial"/>
                      <w:lang w:eastAsia="ja-JP"/>
                    </w:rPr>
                    <w:t>37 dB</w:t>
                  </w:r>
                </w:p>
              </w:tc>
            </w:tr>
            <w:tr w:rsidR="00C70A01" w14:paraId="0AC7E756" w14:textId="77777777" w:rsidTr="00C70A01">
              <w:trPr>
                <w:trHeight w:val="288"/>
                <w:jc w:val="center"/>
              </w:trPr>
              <w:tc>
                <w:tcPr>
                  <w:tcW w:w="2420" w:type="dxa"/>
                  <w:tcBorders>
                    <w:top w:val="nil"/>
                    <w:left w:val="single" w:sz="4" w:space="0" w:color="auto"/>
                    <w:bottom w:val="single" w:sz="4" w:space="0" w:color="auto"/>
                    <w:right w:val="single" w:sz="4" w:space="0" w:color="auto"/>
                  </w:tcBorders>
                  <w:noWrap/>
                  <w:vAlign w:val="center"/>
                  <w:hideMark/>
                </w:tcPr>
                <w:p w14:paraId="6BD0567A" w14:textId="77777777" w:rsidR="00C70A01" w:rsidRDefault="00C70A01" w:rsidP="00C70A01">
                  <w:pPr>
                    <w:pStyle w:val="TAH"/>
                    <w:rPr>
                      <w:rFonts w:cs="Arial"/>
                      <w:lang w:eastAsia="ja-JP"/>
                    </w:rPr>
                  </w:pPr>
                  <w:r>
                    <w:rPr>
                      <w:rFonts w:cs="Arial"/>
                      <w:lang w:eastAsia="ja-JP"/>
                    </w:rPr>
                    <w:t>Adjacent channel</w:t>
                  </w:r>
                  <w:r>
                    <w:rPr>
                      <w:rFonts w:cs="Arial"/>
                      <w:lang w:eastAsia="ja-JP"/>
                    </w:rPr>
                    <w:br/>
                    <w:t xml:space="preserve"> center frequency offset</w:t>
                  </w:r>
                  <w:r>
                    <w:rPr>
                      <w:rFonts w:cs="Arial"/>
                      <w:lang w:eastAsia="ja-JP"/>
                    </w:rPr>
                    <w:br/>
                    <w:t xml:space="preserve">from category NB1 </w:t>
                  </w:r>
                  <w:r>
                    <w:rPr>
                      <w:rFonts w:cs="Arial"/>
                      <w:lang w:eastAsia="zh-CN"/>
                    </w:rPr>
                    <w:t>or</w:t>
                  </w:r>
                  <w:r>
                    <w:rPr>
                      <w:rFonts w:cs="Arial"/>
                      <w:lang w:eastAsia="ja-JP"/>
                    </w:rPr>
                    <w:t xml:space="preserve"> NB2 Channel edge</w:t>
                  </w:r>
                </w:p>
              </w:tc>
              <w:tc>
                <w:tcPr>
                  <w:tcW w:w="1309" w:type="dxa"/>
                  <w:tcBorders>
                    <w:top w:val="nil"/>
                    <w:left w:val="nil"/>
                    <w:bottom w:val="single" w:sz="4" w:space="0" w:color="auto"/>
                    <w:right w:val="single" w:sz="4" w:space="0" w:color="auto"/>
                  </w:tcBorders>
                  <w:noWrap/>
                  <w:vAlign w:val="center"/>
                  <w:hideMark/>
                </w:tcPr>
                <w:p w14:paraId="32928852" w14:textId="77777777" w:rsidR="00C70A01" w:rsidRDefault="00C70A01" w:rsidP="00C70A01">
                  <w:pPr>
                    <w:pStyle w:val="TAC"/>
                    <w:rPr>
                      <w:rFonts w:cs="Arial"/>
                      <w:lang w:eastAsia="ja-JP"/>
                    </w:rPr>
                  </w:pPr>
                  <w:r>
                    <w:rPr>
                      <w:rFonts w:cs="Arial"/>
                      <w:lang w:eastAsia="ja-JP"/>
                    </w:rPr>
                    <w:t>±200 kHz</w:t>
                  </w:r>
                </w:p>
              </w:tc>
              <w:tc>
                <w:tcPr>
                  <w:tcW w:w="1309" w:type="dxa"/>
                  <w:tcBorders>
                    <w:top w:val="nil"/>
                    <w:left w:val="nil"/>
                    <w:bottom w:val="single" w:sz="4" w:space="0" w:color="auto"/>
                    <w:right w:val="single" w:sz="4" w:space="0" w:color="auto"/>
                  </w:tcBorders>
                  <w:noWrap/>
                  <w:vAlign w:val="center"/>
                  <w:hideMark/>
                </w:tcPr>
                <w:p w14:paraId="3A849153" w14:textId="77777777" w:rsidR="00C70A01" w:rsidRDefault="00C70A01" w:rsidP="00C70A01">
                  <w:pPr>
                    <w:pStyle w:val="TAC"/>
                    <w:rPr>
                      <w:rFonts w:cs="Arial"/>
                      <w:lang w:eastAsia="ja-JP"/>
                    </w:rPr>
                  </w:pPr>
                  <w:r>
                    <w:rPr>
                      <w:rFonts w:cs="Arial"/>
                      <w:lang w:eastAsia="ja-JP"/>
                    </w:rPr>
                    <w:t>±2.5 MHz</w:t>
                  </w:r>
                </w:p>
              </w:tc>
            </w:tr>
            <w:tr w:rsidR="00C70A01" w14:paraId="276551F2" w14:textId="77777777" w:rsidTr="00C70A01">
              <w:trPr>
                <w:trHeight w:val="576"/>
                <w:jc w:val="center"/>
              </w:trPr>
              <w:tc>
                <w:tcPr>
                  <w:tcW w:w="2420" w:type="dxa"/>
                  <w:tcBorders>
                    <w:top w:val="nil"/>
                    <w:left w:val="single" w:sz="4" w:space="0" w:color="auto"/>
                    <w:bottom w:val="single" w:sz="4" w:space="0" w:color="auto"/>
                    <w:right w:val="single" w:sz="4" w:space="0" w:color="auto"/>
                  </w:tcBorders>
                  <w:vAlign w:val="center"/>
                  <w:hideMark/>
                </w:tcPr>
                <w:p w14:paraId="32027AFA" w14:textId="77777777" w:rsidR="00C70A01" w:rsidRDefault="00C70A01" w:rsidP="00C70A01">
                  <w:pPr>
                    <w:pStyle w:val="TAH"/>
                    <w:rPr>
                      <w:rFonts w:cs="Arial"/>
                      <w:lang w:eastAsia="ja-JP"/>
                    </w:rPr>
                  </w:pPr>
                  <w:r>
                    <w:rPr>
                      <w:rFonts w:cs="Arial"/>
                      <w:lang w:eastAsia="ja-JP"/>
                    </w:rPr>
                    <w:t>Adjacent channel</w:t>
                  </w:r>
                  <w:r>
                    <w:rPr>
                      <w:rFonts w:cs="Arial"/>
                      <w:lang w:eastAsia="ja-JP"/>
                    </w:rPr>
                    <w:br/>
                    <w:t>measurement bandwidth</w:t>
                  </w:r>
                </w:p>
              </w:tc>
              <w:tc>
                <w:tcPr>
                  <w:tcW w:w="1309" w:type="dxa"/>
                  <w:tcBorders>
                    <w:top w:val="nil"/>
                    <w:left w:val="nil"/>
                    <w:bottom w:val="single" w:sz="4" w:space="0" w:color="auto"/>
                    <w:right w:val="single" w:sz="4" w:space="0" w:color="auto"/>
                  </w:tcBorders>
                  <w:noWrap/>
                  <w:vAlign w:val="center"/>
                  <w:hideMark/>
                </w:tcPr>
                <w:p w14:paraId="24348D28" w14:textId="77777777" w:rsidR="00C70A01" w:rsidRDefault="00C70A01" w:rsidP="00C70A01">
                  <w:pPr>
                    <w:pStyle w:val="TAC"/>
                    <w:rPr>
                      <w:rFonts w:cs="Arial"/>
                      <w:lang w:eastAsia="ja-JP"/>
                    </w:rPr>
                  </w:pPr>
                  <w:r>
                    <w:rPr>
                      <w:rFonts w:cs="Arial"/>
                      <w:lang w:eastAsia="ja-JP"/>
                    </w:rPr>
                    <w:t>180 kHz</w:t>
                  </w:r>
                </w:p>
              </w:tc>
              <w:tc>
                <w:tcPr>
                  <w:tcW w:w="1309" w:type="dxa"/>
                  <w:tcBorders>
                    <w:top w:val="nil"/>
                    <w:left w:val="nil"/>
                    <w:bottom w:val="single" w:sz="4" w:space="0" w:color="auto"/>
                    <w:right w:val="single" w:sz="4" w:space="0" w:color="auto"/>
                  </w:tcBorders>
                  <w:noWrap/>
                  <w:vAlign w:val="center"/>
                  <w:hideMark/>
                </w:tcPr>
                <w:p w14:paraId="0F180430" w14:textId="77777777" w:rsidR="00C70A01" w:rsidRDefault="00C70A01" w:rsidP="00C70A01">
                  <w:pPr>
                    <w:pStyle w:val="TAC"/>
                    <w:rPr>
                      <w:rFonts w:cs="Arial"/>
                      <w:lang w:eastAsia="ja-JP"/>
                    </w:rPr>
                  </w:pPr>
                  <w:r>
                    <w:rPr>
                      <w:rFonts w:cs="Arial"/>
                      <w:lang w:eastAsia="ja-JP"/>
                    </w:rPr>
                    <w:t>3.84 MHz</w:t>
                  </w:r>
                </w:p>
              </w:tc>
            </w:tr>
            <w:tr w:rsidR="00C70A01" w14:paraId="2AA9CE7F" w14:textId="77777777" w:rsidTr="00C70A01">
              <w:trPr>
                <w:trHeight w:val="876"/>
                <w:jc w:val="center"/>
              </w:trPr>
              <w:tc>
                <w:tcPr>
                  <w:tcW w:w="2420" w:type="dxa"/>
                  <w:tcBorders>
                    <w:top w:val="nil"/>
                    <w:left w:val="single" w:sz="4" w:space="0" w:color="auto"/>
                    <w:bottom w:val="single" w:sz="4" w:space="0" w:color="auto"/>
                    <w:right w:val="single" w:sz="4" w:space="0" w:color="auto"/>
                  </w:tcBorders>
                  <w:vAlign w:val="center"/>
                  <w:hideMark/>
                </w:tcPr>
                <w:p w14:paraId="750586B4" w14:textId="77777777" w:rsidR="00C70A01" w:rsidRDefault="00C70A01" w:rsidP="00C70A01">
                  <w:pPr>
                    <w:pStyle w:val="TAH"/>
                    <w:rPr>
                      <w:rFonts w:cs="Arial"/>
                      <w:lang w:eastAsia="ja-JP"/>
                    </w:rPr>
                  </w:pPr>
                  <w:r>
                    <w:rPr>
                      <w:rFonts w:cs="Arial"/>
                      <w:lang w:eastAsia="ja-JP"/>
                    </w:rPr>
                    <w:t>Measurement filter</w:t>
                  </w:r>
                </w:p>
              </w:tc>
              <w:tc>
                <w:tcPr>
                  <w:tcW w:w="1309" w:type="dxa"/>
                  <w:tcBorders>
                    <w:top w:val="nil"/>
                    <w:left w:val="nil"/>
                    <w:bottom w:val="single" w:sz="4" w:space="0" w:color="auto"/>
                    <w:right w:val="single" w:sz="4" w:space="0" w:color="auto"/>
                  </w:tcBorders>
                  <w:noWrap/>
                  <w:vAlign w:val="center"/>
                  <w:hideMark/>
                </w:tcPr>
                <w:p w14:paraId="700DA6C4" w14:textId="77777777" w:rsidR="00C70A01" w:rsidRDefault="00C70A01" w:rsidP="00C70A01">
                  <w:pPr>
                    <w:pStyle w:val="TAC"/>
                    <w:rPr>
                      <w:rFonts w:cs="Arial"/>
                      <w:lang w:eastAsia="ja-JP"/>
                    </w:rPr>
                  </w:pPr>
                  <w:r>
                    <w:rPr>
                      <w:rFonts w:cs="Arial"/>
                      <w:lang w:eastAsia="ja-JP"/>
                    </w:rPr>
                    <w:t>Rectangular</w:t>
                  </w:r>
                </w:p>
              </w:tc>
              <w:tc>
                <w:tcPr>
                  <w:tcW w:w="1309" w:type="dxa"/>
                  <w:tcBorders>
                    <w:top w:val="nil"/>
                    <w:left w:val="nil"/>
                    <w:bottom w:val="single" w:sz="4" w:space="0" w:color="auto"/>
                    <w:right w:val="single" w:sz="4" w:space="0" w:color="auto"/>
                  </w:tcBorders>
                  <w:noWrap/>
                  <w:vAlign w:val="center"/>
                  <w:hideMark/>
                </w:tcPr>
                <w:p w14:paraId="56C3A550" w14:textId="77777777" w:rsidR="00C70A01" w:rsidRDefault="00C70A01" w:rsidP="00C70A01">
                  <w:pPr>
                    <w:pStyle w:val="TAC"/>
                    <w:rPr>
                      <w:rFonts w:cs="Arial"/>
                      <w:lang w:eastAsia="ja-JP"/>
                    </w:rPr>
                  </w:pPr>
                  <w:r>
                    <w:rPr>
                      <w:rFonts w:cs="Arial"/>
                      <w:lang w:eastAsia="ja-JP"/>
                    </w:rPr>
                    <w:t>RRC-filter α=0.22</w:t>
                  </w:r>
                </w:p>
              </w:tc>
            </w:tr>
            <w:tr w:rsidR="00C70A01" w14:paraId="24087BC3" w14:textId="77777777" w:rsidTr="00C70A01">
              <w:trPr>
                <w:trHeight w:val="876"/>
                <w:jc w:val="center"/>
              </w:trPr>
              <w:tc>
                <w:tcPr>
                  <w:tcW w:w="2420" w:type="dxa"/>
                  <w:tcBorders>
                    <w:top w:val="single" w:sz="4" w:space="0" w:color="auto"/>
                    <w:left w:val="single" w:sz="4" w:space="0" w:color="auto"/>
                    <w:bottom w:val="single" w:sz="4" w:space="0" w:color="auto"/>
                    <w:right w:val="single" w:sz="4" w:space="0" w:color="auto"/>
                  </w:tcBorders>
                  <w:vAlign w:val="center"/>
                  <w:hideMark/>
                </w:tcPr>
                <w:p w14:paraId="4F63AF35" w14:textId="77777777" w:rsidR="00C70A01" w:rsidRDefault="00C70A01" w:rsidP="00C70A01">
                  <w:pPr>
                    <w:pStyle w:val="TAH"/>
                    <w:rPr>
                      <w:rFonts w:cs="Arial"/>
                      <w:lang w:eastAsia="ja-JP"/>
                    </w:rPr>
                  </w:pPr>
                  <w:r>
                    <w:rPr>
                      <w:rFonts w:cs="Arial"/>
                      <w:lang w:val="en-US" w:eastAsia="ja-JP"/>
                    </w:rPr>
                    <w:t>Category NB1 and NB2 channel measurement bandwidth</w:t>
                  </w:r>
                </w:p>
              </w:tc>
              <w:tc>
                <w:tcPr>
                  <w:tcW w:w="1309" w:type="dxa"/>
                  <w:tcBorders>
                    <w:top w:val="single" w:sz="4" w:space="0" w:color="auto"/>
                    <w:left w:val="nil"/>
                    <w:bottom w:val="single" w:sz="4" w:space="0" w:color="auto"/>
                    <w:right w:val="single" w:sz="4" w:space="0" w:color="auto"/>
                  </w:tcBorders>
                  <w:noWrap/>
                  <w:vAlign w:val="center"/>
                  <w:hideMark/>
                </w:tcPr>
                <w:p w14:paraId="3E4572A0" w14:textId="77777777" w:rsidR="00C70A01" w:rsidRDefault="00C70A01" w:rsidP="00C70A01">
                  <w:pPr>
                    <w:pStyle w:val="TAC"/>
                    <w:rPr>
                      <w:rFonts w:cs="Arial"/>
                      <w:lang w:eastAsia="ja-JP"/>
                    </w:rPr>
                  </w:pPr>
                  <w:r>
                    <w:rPr>
                      <w:rFonts w:cs="Arial"/>
                      <w:lang w:eastAsia="ja-JP"/>
                    </w:rPr>
                    <w:t>180 kHz</w:t>
                  </w:r>
                </w:p>
              </w:tc>
              <w:tc>
                <w:tcPr>
                  <w:tcW w:w="1309" w:type="dxa"/>
                  <w:tcBorders>
                    <w:top w:val="single" w:sz="4" w:space="0" w:color="auto"/>
                    <w:left w:val="nil"/>
                    <w:bottom w:val="single" w:sz="4" w:space="0" w:color="auto"/>
                    <w:right w:val="single" w:sz="4" w:space="0" w:color="auto"/>
                  </w:tcBorders>
                  <w:noWrap/>
                  <w:vAlign w:val="center"/>
                  <w:hideMark/>
                </w:tcPr>
                <w:p w14:paraId="094B2CF5" w14:textId="77777777" w:rsidR="00C70A01" w:rsidRDefault="00C70A01" w:rsidP="00C70A01">
                  <w:pPr>
                    <w:pStyle w:val="TAC"/>
                    <w:rPr>
                      <w:rFonts w:cs="Arial"/>
                      <w:lang w:eastAsia="ja-JP"/>
                    </w:rPr>
                  </w:pPr>
                  <w:r>
                    <w:rPr>
                      <w:rFonts w:cs="Arial"/>
                      <w:lang w:eastAsia="ja-JP"/>
                    </w:rPr>
                    <w:t>180 kHz</w:t>
                  </w:r>
                </w:p>
              </w:tc>
            </w:tr>
            <w:tr w:rsidR="00C70A01" w14:paraId="5BBD42C8" w14:textId="77777777" w:rsidTr="00C70A01">
              <w:trPr>
                <w:trHeight w:val="876"/>
                <w:jc w:val="center"/>
              </w:trPr>
              <w:tc>
                <w:tcPr>
                  <w:tcW w:w="2420" w:type="dxa"/>
                  <w:tcBorders>
                    <w:top w:val="single" w:sz="4" w:space="0" w:color="auto"/>
                    <w:left w:val="single" w:sz="4" w:space="0" w:color="auto"/>
                    <w:bottom w:val="single" w:sz="4" w:space="0" w:color="auto"/>
                    <w:right w:val="single" w:sz="4" w:space="0" w:color="auto"/>
                  </w:tcBorders>
                  <w:vAlign w:val="center"/>
                  <w:hideMark/>
                </w:tcPr>
                <w:p w14:paraId="7480A9A0" w14:textId="77777777" w:rsidR="00C70A01" w:rsidRDefault="00C70A01" w:rsidP="00C70A01">
                  <w:pPr>
                    <w:pStyle w:val="TAH"/>
                    <w:rPr>
                      <w:rFonts w:cs="Arial"/>
                      <w:lang w:eastAsia="ja-JP"/>
                    </w:rPr>
                  </w:pPr>
                  <w:r>
                    <w:rPr>
                      <w:rFonts w:cs="Arial"/>
                      <w:lang w:val="en-US" w:eastAsia="ja-JP"/>
                    </w:rPr>
                    <w:t xml:space="preserve">Category NB1 and NB2 channel </w:t>
                  </w:r>
                  <w:r>
                    <w:rPr>
                      <w:rFonts w:cs="Arial"/>
                      <w:lang w:eastAsia="ja-JP"/>
                    </w:rPr>
                    <w:t>Measurement filter</w:t>
                  </w:r>
                </w:p>
              </w:tc>
              <w:tc>
                <w:tcPr>
                  <w:tcW w:w="1309" w:type="dxa"/>
                  <w:tcBorders>
                    <w:top w:val="single" w:sz="4" w:space="0" w:color="auto"/>
                    <w:left w:val="nil"/>
                    <w:bottom w:val="single" w:sz="4" w:space="0" w:color="auto"/>
                    <w:right w:val="single" w:sz="4" w:space="0" w:color="auto"/>
                  </w:tcBorders>
                  <w:noWrap/>
                  <w:vAlign w:val="center"/>
                  <w:hideMark/>
                </w:tcPr>
                <w:p w14:paraId="06F84B66" w14:textId="77777777" w:rsidR="00C70A01" w:rsidRDefault="00C70A01" w:rsidP="00C70A01">
                  <w:pPr>
                    <w:pStyle w:val="TAC"/>
                    <w:rPr>
                      <w:rFonts w:cs="Arial"/>
                      <w:lang w:eastAsia="ja-JP"/>
                    </w:rPr>
                  </w:pPr>
                  <w:r>
                    <w:rPr>
                      <w:rFonts w:cs="Arial"/>
                      <w:lang w:eastAsia="ja-JP"/>
                    </w:rPr>
                    <w:t>Rectangular</w:t>
                  </w:r>
                </w:p>
              </w:tc>
              <w:tc>
                <w:tcPr>
                  <w:tcW w:w="1309" w:type="dxa"/>
                  <w:tcBorders>
                    <w:top w:val="single" w:sz="4" w:space="0" w:color="auto"/>
                    <w:left w:val="nil"/>
                    <w:bottom w:val="single" w:sz="4" w:space="0" w:color="auto"/>
                    <w:right w:val="single" w:sz="4" w:space="0" w:color="auto"/>
                  </w:tcBorders>
                  <w:noWrap/>
                  <w:vAlign w:val="center"/>
                  <w:hideMark/>
                </w:tcPr>
                <w:p w14:paraId="7E714DA9" w14:textId="77777777" w:rsidR="00C70A01" w:rsidRDefault="00C70A01" w:rsidP="00C70A01">
                  <w:pPr>
                    <w:pStyle w:val="TAC"/>
                    <w:rPr>
                      <w:rFonts w:cs="Arial"/>
                      <w:lang w:eastAsia="ja-JP"/>
                    </w:rPr>
                  </w:pPr>
                  <w:r>
                    <w:rPr>
                      <w:rFonts w:cs="Arial"/>
                      <w:lang w:eastAsia="ja-JP"/>
                    </w:rPr>
                    <w:t>Rectangular</w:t>
                  </w:r>
                </w:p>
              </w:tc>
            </w:tr>
          </w:tbl>
          <w:p w14:paraId="22DA6337" w14:textId="77777777" w:rsidR="00C70A01" w:rsidRDefault="00C70A01" w:rsidP="00B420B2">
            <w:pPr>
              <w:rPr>
                <w:lang w:val="sv-SE" w:eastAsia="zh-CN"/>
              </w:rPr>
            </w:pPr>
          </w:p>
        </w:tc>
      </w:tr>
    </w:tbl>
    <w:p w14:paraId="54217653" w14:textId="12D176ED" w:rsidR="00C70A01" w:rsidRDefault="00C70A01" w:rsidP="00B420B2">
      <w:pPr>
        <w:rPr>
          <w:lang w:val="sv-SE" w:eastAsia="zh-CN"/>
        </w:rPr>
      </w:pPr>
    </w:p>
    <w:p w14:paraId="4E859DB5" w14:textId="6D5F9297" w:rsidR="00B420B2" w:rsidRDefault="00B420B2" w:rsidP="00B420B2">
      <w:pPr>
        <w:rPr>
          <w:lang w:val="sv-SE" w:eastAsia="zh-CN"/>
        </w:rPr>
      </w:pPr>
      <w:r w:rsidRPr="00DF55F3">
        <w:rPr>
          <w:b/>
          <w:lang w:val="sv-SE" w:eastAsia="zh-CN"/>
        </w:rPr>
        <w:t xml:space="preserve">Observation </w:t>
      </w:r>
      <w:r w:rsidR="00C70A01">
        <w:rPr>
          <w:b/>
          <w:lang w:val="sv-SE" w:eastAsia="zh-CN"/>
        </w:rPr>
        <w:t>2</w:t>
      </w:r>
      <w:r>
        <w:rPr>
          <w:lang w:val="sv-SE" w:eastAsia="zh-CN"/>
        </w:rPr>
        <w:t xml:space="preserve">: </w:t>
      </w:r>
      <w:r w:rsidR="00C70A01">
        <w:rPr>
          <w:lang w:val="sv-SE" w:eastAsia="zh-CN"/>
        </w:rPr>
        <w:t>Our study suggests a lower ACLR requirement for PC2 compared to the IoT-NTN PC3 ACLR requirements</w:t>
      </w:r>
      <w:r w:rsidR="00126827">
        <w:rPr>
          <w:lang w:val="sv-SE" w:eastAsia="zh-CN"/>
        </w:rPr>
        <w:t>, which does not introduce challenge to meet ACLR.</w:t>
      </w:r>
    </w:p>
    <w:p w14:paraId="499E129B" w14:textId="1B3475A7" w:rsidR="00C70A01" w:rsidRDefault="00C70A01" w:rsidP="00B420B2">
      <w:pPr>
        <w:rPr>
          <w:lang w:val="sv-SE" w:eastAsia="zh-CN"/>
        </w:rPr>
      </w:pPr>
      <w:r>
        <w:rPr>
          <w:rFonts w:hint="eastAsia"/>
          <w:lang w:val="sv-SE" w:eastAsia="zh-CN"/>
        </w:rPr>
        <w:t>I</w:t>
      </w:r>
      <w:r>
        <w:rPr>
          <w:lang w:val="sv-SE" w:eastAsia="zh-CN"/>
        </w:rPr>
        <w:t>n this case, with higher Tx power for PC2 to meet a lower ACLR requirements, our view is that the existing IoT-NTN PC3 MPR requirements can still apply, if there’s no other technical difficulties identified.</w:t>
      </w:r>
    </w:p>
    <w:p w14:paraId="77000FED" w14:textId="72D66B1D" w:rsidR="00B420B2" w:rsidRPr="00DF55F3" w:rsidRDefault="00B420B2" w:rsidP="00B420B2">
      <w:pPr>
        <w:rPr>
          <w:b/>
          <w:lang w:val="sv-SE" w:eastAsia="zh-CN"/>
        </w:rPr>
      </w:pPr>
      <w:r w:rsidRPr="00DF55F3">
        <w:rPr>
          <w:b/>
          <w:lang w:val="sv-SE" w:eastAsia="zh-CN"/>
        </w:rPr>
        <w:t xml:space="preserve">Proposal 2: To re-use the </w:t>
      </w:r>
      <w:r w:rsidR="00C70A01">
        <w:rPr>
          <w:b/>
          <w:lang w:val="sv-SE" w:eastAsia="zh-CN"/>
        </w:rPr>
        <w:t>IoT-NTN PC3 MPR requirements for IoT-NTN PC2 as starting point</w:t>
      </w:r>
      <w:r w:rsidRPr="00DF55F3">
        <w:rPr>
          <w:b/>
          <w:lang w:val="sv-SE" w:eastAsia="zh-CN"/>
        </w:rPr>
        <w:t>.</w:t>
      </w:r>
    </w:p>
    <w:p w14:paraId="586FFBDF" w14:textId="77777777" w:rsidR="00B420B2" w:rsidRDefault="00B420B2" w:rsidP="00B420B2">
      <w:pPr>
        <w:rPr>
          <w:lang w:val="sv-SE" w:eastAsia="zh-CN"/>
        </w:rPr>
      </w:pPr>
    </w:p>
    <w:p w14:paraId="5B1E6EC1" w14:textId="77777777" w:rsidR="00B420B2" w:rsidRPr="005C0951" w:rsidRDefault="00B420B2" w:rsidP="00B420B2">
      <w:pPr>
        <w:rPr>
          <w:b/>
          <w:u w:val="single"/>
        </w:rPr>
      </w:pPr>
      <w:r>
        <w:rPr>
          <w:b/>
          <w:u w:val="single"/>
        </w:rPr>
        <w:t>SEM:</w:t>
      </w:r>
    </w:p>
    <w:p w14:paraId="398BCCA9" w14:textId="77777777" w:rsidR="00B420B2" w:rsidRDefault="00B420B2" w:rsidP="00B420B2">
      <w:pPr>
        <w:rPr>
          <w:lang w:val="sv-SE" w:eastAsia="zh-CN"/>
        </w:rPr>
      </w:pPr>
      <w:r>
        <w:rPr>
          <w:rFonts w:hint="eastAsia"/>
          <w:lang w:val="sv-SE" w:eastAsia="zh-CN"/>
        </w:rPr>
        <w:t>I</w:t>
      </w:r>
      <w:r>
        <w:rPr>
          <w:lang w:val="sv-SE" w:eastAsia="zh-CN"/>
        </w:rPr>
        <w:t>n last meeting, [1] discussed whether the existing PC3 SEM requirements can be applied to other PCs.</w:t>
      </w:r>
    </w:p>
    <w:p w14:paraId="43375479" w14:textId="77777777" w:rsidR="00B420B2" w:rsidRDefault="00B420B2" w:rsidP="00B420B2">
      <w:pPr>
        <w:rPr>
          <w:lang w:val="sv-SE" w:eastAsia="zh-CN"/>
        </w:rPr>
      </w:pPr>
      <w:r>
        <w:rPr>
          <w:rFonts w:hint="eastAsia"/>
          <w:lang w:val="sv-SE" w:eastAsia="zh-CN"/>
        </w:rPr>
        <w:lastRenderedPageBreak/>
        <w:t>I</w:t>
      </w:r>
      <w:r>
        <w:rPr>
          <w:lang w:val="sv-SE" w:eastAsia="zh-CN"/>
        </w:rPr>
        <w:t>n our view, the introduction of higher power class does not necessarily change the SEM requirements, especially given the requirements generally was made to meet existing regulatory requirements. Hence, we suggest to re-use existing SEM requirements from PC3 to other PCs.</w:t>
      </w:r>
    </w:p>
    <w:p w14:paraId="3CB08112" w14:textId="77777777" w:rsidR="00B420B2" w:rsidRPr="00090D78" w:rsidRDefault="00B420B2" w:rsidP="00B420B2">
      <w:pPr>
        <w:rPr>
          <w:b/>
          <w:lang w:val="sv-SE" w:eastAsia="zh-CN"/>
        </w:rPr>
      </w:pPr>
      <w:bookmarkStart w:id="1" w:name="OLE_LINK9"/>
      <w:bookmarkStart w:id="2" w:name="OLE_LINK10"/>
      <w:r w:rsidRPr="00090D78">
        <w:rPr>
          <w:b/>
          <w:lang w:val="sv-SE" w:eastAsia="zh-CN"/>
        </w:rPr>
        <w:t>Proposal 3: To re-use existing SEM requirments from PC3 to other PCs.</w:t>
      </w:r>
    </w:p>
    <w:bookmarkEnd w:id="1"/>
    <w:bookmarkEnd w:id="2"/>
    <w:p w14:paraId="5A546495" w14:textId="77777777" w:rsidR="00B420B2" w:rsidRDefault="00B420B2" w:rsidP="00B420B2">
      <w:pPr>
        <w:rPr>
          <w:lang w:val="sv-SE" w:eastAsia="zh-CN"/>
        </w:rPr>
      </w:pPr>
    </w:p>
    <w:p w14:paraId="72A3882F" w14:textId="77777777" w:rsidR="00B420B2" w:rsidRPr="005C0951" w:rsidRDefault="00B420B2" w:rsidP="00B420B2">
      <w:pPr>
        <w:rPr>
          <w:b/>
          <w:u w:val="single"/>
        </w:rPr>
      </w:pPr>
      <w:r>
        <w:rPr>
          <w:b/>
          <w:u w:val="single"/>
        </w:rPr>
        <w:t>S</w:t>
      </w:r>
      <w:r w:rsidRPr="005C0951">
        <w:rPr>
          <w:b/>
          <w:u w:val="single"/>
        </w:rPr>
        <w:t>AR</w:t>
      </w:r>
      <w:r>
        <w:rPr>
          <w:b/>
          <w:u w:val="single"/>
        </w:rPr>
        <w:t>:</w:t>
      </w:r>
    </w:p>
    <w:p w14:paraId="06AC6E09" w14:textId="1DB8CE1E" w:rsidR="00B420B2" w:rsidRDefault="00B420B2" w:rsidP="00B420B2">
      <w:pPr>
        <w:rPr>
          <w:lang w:val="sv-SE" w:eastAsia="zh-CN"/>
        </w:rPr>
      </w:pPr>
      <w:r>
        <w:rPr>
          <w:rFonts w:hint="eastAsia"/>
          <w:lang w:val="sv-SE" w:eastAsia="zh-CN"/>
        </w:rPr>
        <w:t>I</w:t>
      </w:r>
      <w:r>
        <w:rPr>
          <w:lang w:val="sv-SE" w:eastAsia="zh-CN"/>
        </w:rPr>
        <w:t>n last meeting, [1] a</w:t>
      </w:r>
      <w:r w:rsidR="00B65EF0">
        <w:rPr>
          <w:lang w:val="sv-SE" w:eastAsia="zh-CN"/>
        </w:rPr>
        <w:t>grees on the SAR solutions for IoT</w:t>
      </w:r>
      <w:r>
        <w:rPr>
          <w:lang w:val="sv-SE" w:eastAsia="zh-CN"/>
        </w:rPr>
        <w:t>-NTN HPUE handheld devices as following:</w:t>
      </w:r>
    </w:p>
    <w:tbl>
      <w:tblPr>
        <w:tblStyle w:val="a5"/>
        <w:tblW w:w="0" w:type="auto"/>
        <w:tblLook w:val="04A0" w:firstRow="1" w:lastRow="0" w:firstColumn="1" w:lastColumn="0" w:noHBand="0" w:noVBand="1"/>
      </w:tblPr>
      <w:tblGrid>
        <w:gridCol w:w="9629"/>
      </w:tblGrid>
      <w:tr w:rsidR="00B420B2" w14:paraId="08F0B247" w14:textId="77777777" w:rsidTr="00655871">
        <w:tc>
          <w:tcPr>
            <w:tcW w:w="9629" w:type="dxa"/>
          </w:tcPr>
          <w:p w14:paraId="20060598" w14:textId="77777777" w:rsidR="00B420B2" w:rsidRPr="005C0951" w:rsidRDefault="00B420B2" w:rsidP="00655871">
            <w:pPr>
              <w:rPr>
                <w:b/>
                <w:u w:val="single"/>
              </w:rPr>
            </w:pPr>
            <w:r w:rsidRPr="005C0951">
              <w:rPr>
                <w:b/>
                <w:u w:val="single"/>
              </w:rPr>
              <w:t>Issue 3-3-4: SAR for handheld</w:t>
            </w:r>
          </w:p>
          <w:p w14:paraId="22116625" w14:textId="77777777" w:rsidR="00B420B2" w:rsidRPr="005C0951" w:rsidRDefault="00B420B2" w:rsidP="00655871">
            <w:pPr>
              <w:rPr>
                <w:b/>
                <w:bCs/>
                <w:iCs/>
                <w:lang w:eastAsia="zh-CN"/>
              </w:rPr>
            </w:pPr>
            <w:r w:rsidRPr="005C0951">
              <w:rPr>
                <w:b/>
                <w:bCs/>
                <w:iCs/>
                <w:lang w:eastAsia="zh-CN"/>
              </w:rPr>
              <w:t xml:space="preserve">Agreement: </w:t>
            </w:r>
          </w:p>
          <w:p w14:paraId="10886FB0" w14:textId="77777777" w:rsidR="00B420B2" w:rsidRPr="005C0951" w:rsidRDefault="00B420B2" w:rsidP="00B420B2">
            <w:pPr>
              <w:pStyle w:val="a6"/>
              <w:widowControl/>
              <w:numPr>
                <w:ilvl w:val="0"/>
                <w:numId w:val="47"/>
              </w:numPr>
              <w:overflowPunct w:val="0"/>
              <w:autoSpaceDE w:val="0"/>
              <w:autoSpaceDN w:val="0"/>
              <w:adjustRightInd w:val="0"/>
              <w:spacing w:before="0" w:after="180" w:line="240" w:lineRule="auto"/>
              <w:ind w:firstLineChars="0"/>
              <w:jc w:val="left"/>
              <w:textAlignment w:val="baseline"/>
            </w:pPr>
            <w:r w:rsidRPr="005C0951">
              <w:t xml:space="preserve">Using P-MPR as the starting point </w:t>
            </w:r>
          </w:p>
          <w:p w14:paraId="5D316909" w14:textId="77777777" w:rsidR="00B420B2" w:rsidRPr="005C0951" w:rsidRDefault="00B420B2" w:rsidP="00B420B2">
            <w:pPr>
              <w:pStyle w:val="a6"/>
              <w:widowControl/>
              <w:numPr>
                <w:ilvl w:val="0"/>
                <w:numId w:val="47"/>
              </w:numPr>
              <w:overflowPunct w:val="0"/>
              <w:autoSpaceDE w:val="0"/>
              <w:autoSpaceDN w:val="0"/>
              <w:adjustRightInd w:val="0"/>
              <w:spacing w:before="0" w:after="180" w:line="240" w:lineRule="auto"/>
              <w:ind w:firstLineChars="0"/>
              <w:jc w:val="left"/>
              <w:textAlignment w:val="baseline"/>
            </w:pPr>
            <w:r w:rsidRPr="005C0951">
              <w:t>The other solutions are not precluded</w:t>
            </w:r>
          </w:p>
          <w:p w14:paraId="4B975DA7" w14:textId="77777777" w:rsidR="00B420B2" w:rsidRPr="00975F2B" w:rsidRDefault="00B420B2" w:rsidP="00B420B2">
            <w:pPr>
              <w:pStyle w:val="a6"/>
              <w:widowControl/>
              <w:numPr>
                <w:ilvl w:val="1"/>
                <w:numId w:val="47"/>
              </w:numPr>
              <w:overflowPunct w:val="0"/>
              <w:autoSpaceDE w:val="0"/>
              <w:autoSpaceDN w:val="0"/>
              <w:adjustRightInd w:val="0"/>
              <w:spacing w:before="0" w:after="180" w:line="240" w:lineRule="auto"/>
              <w:ind w:firstLineChars="0"/>
              <w:jc w:val="left"/>
              <w:textAlignment w:val="baseline"/>
            </w:pPr>
            <w:r w:rsidRPr="005C0951">
              <w:t>E.g., the solution similar to TN duty cycle based on UE capability and network scheduling</w:t>
            </w:r>
          </w:p>
        </w:tc>
      </w:tr>
    </w:tbl>
    <w:p w14:paraId="14F402C5" w14:textId="77777777" w:rsidR="00B420B2" w:rsidRDefault="00B420B2" w:rsidP="00B420B2">
      <w:pPr>
        <w:rPr>
          <w:lang w:val="sv-SE" w:eastAsia="zh-CN"/>
        </w:rPr>
      </w:pPr>
      <w:r>
        <w:rPr>
          <w:lang w:val="sv-SE" w:eastAsia="zh-CN"/>
        </w:rPr>
        <w:t xml:space="preserve">The left-over issue is whether a SAR solution, other than P-MPR, can be introduced for the SAR issue for a hand-held NTN HPUE device. </w:t>
      </w:r>
    </w:p>
    <w:p w14:paraId="701B0326" w14:textId="77777777" w:rsidR="00B420B2" w:rsidRDefault="00B420B2" w:rsidP="00B420B2">
      <w:pPr>
        <w:rPr>
          <w:lang w:val="sv-SE" w:eastAsia="zh-CN"/>
        </w:rPr>
      </w:pPr>
      <w:r>
        <w:rPr>
          <w:lang w:val="sv-SE" w:eastAsia="zh-CN"/>
        </w:rPr>
        <w:t>In our view, the P-MPR can be a baseline option, as it was widely adopted and implemented in the current UEs. And if we consider some new methods, for example the duty cycle based SAR solution, we need to first identify the new demands in addition to the P-MPR solutions.</w:t>
      </w:r>
    </w:p>
    <w:tbl>
      <w:tblPr>
        <w:tblStyle w:val="a5"/>
        <w:tblW w:w="0" w:type="auto"/>
        <w:tblLook w:val="04A0" w:firstRow="1" w:lastRow="0" w:firstColumn="1" w:lastColumn="0" w:noHBand="0" w:noVBand="1"/>
      </w:tblPr>
      <w:tblGrid>
        <w:gridCol w:w="9629"/>
      </w:tblGrid>
      <w:tr w:rsidR="00B420B2" w14:paraId="2FBFCE48" w14:textId="77777777" w:rsidTr="00655871">
        <w:tc>
          <w:tcPr>
            <w:tcW w:w="9629" w:type="dxa"/>
          </w:tcPr>
          <w:p w14:paraId="5754C2DD" w14:textId="77777777" w:rsidR="00B420B2" w:rsidRPr="00361AE9" w:rsidRDefault="00B420B2" w:rsidP="00655871">
            <w:pPr>
              <w:rPr>
                <w:lang w:val="en-US"/>
              </w:rPr>
            </w:pPr>
            <w:r w:rsidRPr="00361AE9">
              <w:t xml:space="preserve">When compared to the existing TN deployments, NTN becomes critical in adverse conditions such as </w:t>
            </w:r>
            <w:r w:rsidRPr="0009520B">
              <w:rPr>
                <w:b/>
              </w:rPr>
              <w:t>severe weather events or natural disasters</w:t>
            </w:r>
            <w:r w:rsidRPr="00361AE9">
              <w:t>, where or when the terrestrial deployments are not present or temporally unavailable. However, satellite communication involves transmitting signals over long distances, which results in larger path loss. Thus</w:t>
            </w:r>
            <w:r w:rsidRPr="00BC25BB">
              <w:rPr>
                <w:b/>
              </w:rPr>
              <w:t xml:space="preserve"> </w:t>
            </w:r>
            <w:r w:rsidRPr="00BC25BB">
              <w:rPr>
                <w:b/>
                <w:lang w:val="en-US"/>
              </w:rPr>
              <w:t>increasing the UE maximum transmit power will significantly improve UL performance in terms of coverage, availability and throughput</w:t>
            </w:r>
            <w:r w:rsidRPr="00361AE9">
              <w:rPr>
                <w:lang w:val="en-US"/>
              </w:rPr>
              <w:t xml:space="preserve">, which would be needed to meet the above market demands associated with </w:t>
            </w:r>
            <w:r w:rsidRPr="00BC25BB">
              <w:rPr>
                <w:b/>
                <w:lang w:val="en-US"/>
              </w:rPr>
              <w:t>fixed wireless, public safety and automotive usage</w:t>
            </w:r>
            <w:r w:rsidRPr="00361AE9">
              <w:rPr>
                <w:lang w:val="en-US"/>
              </w:rPr>
              <w:t>.</w:t>
            </w:r>
            <w:r w:rsidRPr="00361AE9">
              <w:rPr>
                <w:rFonts w:hint="eastAsia"/>
                <w:lang w:val="en-US"/>
              </w:rPr>
              <w:t xml:space="preserve"> </w:t>
            </w:r>
          </w:p>
          <w:p w14:paraId="69C46E13" w14:textId="77777777" w:rsidR="00B420B2" w:rsidRPr="0009520B" w:rsidRDefault="00B420B2" w:rsidP="00655871">
            <w:pPr>
              <w:rPr>
                <w:rFonts w:eastAsia="Malgun Gothic"/>
                <w:lang w:val="en-US"/>
              </w:rPr>
            </w:pPr>
            <w:r w:rsidRPr="00361AE9">
              <w:rPr>
                <w:lang w:val="en-US"/>
              </w:rPr>
              <w:t xml:space="preserve">HPUE for NTN is feasible. For a number of NTN use cases, including automotive, maritime, logistics, outdoor industrial monitoring and other scenarios not reliant on battery power, such that the higher power requirements of PC2, PC1.5 and PC1 are </w:t>
            </w:r>
            <w:r w:rsidRPr="0009520B">
              <w:rPr>
                <w:b/>
                <w:lang w:val="en-US"/>
              </w:rPr>
              <w:t>not with a battery power issue</w:t>
            </w:r>
            <w:r w:rsidRPr="00361AE9">
              <w:rPr>
                <w:lang w:val="en-US"/>
              </w:rPr>
              <w:t xml:space="preserve">. Regarding the regulation, the existing regulation and specifications used by the current satellite services (primarily MSS), such as ECC/CEPT and FCC, typically </w:t>
            </w:r>
            <w:r w:rsidRPr="0009520B">
              <w:rPr>
                <w:b/>
                <w:lang w:val="en-US"/>
              </w:rPr>
              <w:t>allow significantly higher UE transmit powers even for handheld</w:t>
            </w:r>
            <w:r w:rsidRPr="00361AE9">
              <w:rPr>
                <w:lang w:val="en-US"/>
              </w:rPr>
              <w:t xml:space="preserve"> (e.g. satellite phones and trackers, which are different from smartphones) and automotive UE, and operate in narrow-band spectrum. Therefore, regulation is not expected to be a barrier. To address the </w:t>
            </w:r>
            <w:r w:rsidRPr="00361AE9">
              <w:t>peak spatial-average specific absorption rate (SAR)</w:t>
            </w:r>
            <w:r w:rsidRPr="00361AE9">
              <w:rPr>
                <w:lang w:val="en-US"/>
              </w:rPr>
              <w:t xml:space="preserve"> restriction for s</w:t>
            </w:r>
            <w:r w:rsidRPr="00361AE9">
              <w:rPr>
                <w:rFonts w:eastAsia="Malgun Gothic"/>
                <w:lang w:val="en-US"/>
              </w:rPr>
              <w:t>ome UE (e.g. smartphones) the proper solution similar to TN HPUE would be needed.</w:t>
            </w:r>
          </w:p>
        </w:tc>
      </w:tr>
    </w:tbl>
    <w:p w14:paraId="6C5971E7" w14:textId="77777777" w:rsidR="00B420B2" w:rsidRDefault="00B420B2" w:rsidP="00B420B2">
      <w:pPr>
        <w:rPr>
          <w:lang w:val="sv-SE" w:eastAsia="zh-CN"/>
        </w:rPr>
      </w:pPr>
    </w:p>
    <w:p w14:paraId="3E738B47" w14:textId="77777777" w:rsidR="00B420B2" w:rsidRDefault="00B420B2" w:rsidP="00B420B2">
      <w:pPr>
        <w:rPr>
          <w:lang w:val="sv-SE" w:eastAsia="zh-CN"/>
        </w:rPr>
      </w:pPr>
      <w:r>
        <w:rPr>
          <w:lang w:val="sv-SE" w:eastAsia="zh-CN"/>
        </w:rPr>
        <w:t>The NTN HPUE objectives, according to the WIDs above, show that the use cases of the NTN HPUE include to provide service coverage in ”severe weather events or natural disasters”. And unike the TN HPUE case, the current satellite smartphone devices were allowed to tarnsmit in higher power to make sure its connectivity/availability to the network during those cases.</w:t>
      </w:r>
    </w:p>
    <w:p w14:paraId="71B2ED0B" w14:textId="284A8016" w:rsidR="00B420B2" w:rsidRDefault="00B420B2" w:rsidP="00B420B2">
      <w:pPr>
        <w:rPr>
          <w:lang w:val="sv-SE" w:eastAsia="zh-CN"/>
        </w:rPr>
      </w:pPr>
      <w:r w:rsidRPr="00D37AD4">
        <w:rPr>
          <w:rFonts w:hint="eastAsia"/>
          <w:b/>
          <w:lang w:val="sv-SE" w:eastAsia="zh-CN"/>
        </w:rPr>
        <w:t>O</w:t>
      </w:r>
      <w:r w:rsidRPr="00D37AD4">
        <w:rPr>
          <w:b/>
          <w:lang w:val="sv-SE" w:eastAsia="zh-CN"/>
        </w:rPr>
        <w:t>bservation</w:t>
      </w:r>
      <w:r w:rsidR="00126827">
        <w:rPr>
          <w:b/>
          <w:lang w:val="sv-SE" w:eastAsia="zh-CN"/>
        </w:rPr>
        <w:t xml:space="preserve"> 4</w:t>
      </w:r>
      <w:r>
        <w:rPr>
          <w:lang w:val="sv-SE" w:eastAsia="zh-CN"/>
        </w:rPr>
        <w:t xml:space="preserve">: The NTN HPUE use cases including to provide service during severe weather conditions and natural disasters, which requires higher power to compensate the increasing pathloss due to longer distance and potential additional rain/cloud fadings during those conditions. </w:t>
      </w:r>
    </w:p>
    <w:p w14:paraId="783CBF6C" w14:textId="77777777" w:rsidR="00B420B2" w:rsidRDefault="00B420B2" w:rsidP="00B420B2">
      <w:pPr>
        <w:rPr>
          <w:lang w:val="sv-SE" w:eastAsia="zh-CN"/>
        </w:rPr>
      </w:pPr>
    </w:p>
    <w:p w14:paraId="4D8878F6" w14:textId="35C9555F" w:rsidR="00B420B2" w:rsidRPr="00CD0E8F" w:rsidRDefault="00B420B2" w:rsidP="00B420B2">
      <w:pPr>
        <w:rPr>
          <w:lang w:val="sv-SE" w:eastAsia="zh-CN"/>
        </w:rPr>
      </w:pPr>
      <w:r>
        <w:rPr>
          <w:lang w:val="sv-SE" w:eastAsia="zh-CN"/>
        </w:rPr>
        <w:t xml:space="preserve">Though </w:t>
      </w:r>
      <w:r w:rsidR="00B65EF0">
        <w:rPr>
          <w:lang w:val="sv-SE" w:eastAsia="zh-CN"/>
        </w:rPr>
        <w:t>IoT</w:t>
      </w:r>
      <w:r>
        <w:rPr>
          <w:lang w:val="sv-SE" w:eastAsia="zh-CN"/>
        </w:rPr>
        <w:t xml:space="preserve">-NTN bands are currently all FDD bands, a duty cycle based method can be applicable because the </w:t>
      </w:r>
      <w:r w:rsidR="00B65EF0">
        <w:rPr>
          <w:lang w:val="sv-SE" w:eastAsia="zh-CN"/>
        </w:rPr>
        <w:t>IoT</w:t>
      </w:r>
      <w:r>
        <w:rPr>
          <w:lang w:val="sv-SE" w:eastAsia="zh-CN"/>
        </w:rPr>
        <w:t>-NTN coverage can be a TDM manner as one NTN SAN would cover multiple cells/beams and in a TDM manner.</w:t>
      </w:r>
    </w:p>
    <w:p w14:paraId="07955069" w14:textId="77FCB441" w:rsidR="00B420B2" w:rsidRDefault="00B420B2" w:rsidP="00B420B2">
      <w:pPr>
        <w:rPr>
          <w:lang w:val="sv-SE" w:eastAsia="zh-CN"/>
        </w:rPr>
      </w:pPr>
      <w:r w:rsidRPr="00D37AD4">
        <w:rPr>
          <w:b/>
          <w:lang w:val="sv-SE" w:eastAsia="zh-CN"/>
        </w:rPr>
        <w:t xml:space="preserve">Observation </w:t>
      </w:r>
      <w:r w:rsidR="00126827">
        <w:rPr>
          <w:b/>
          <w:lang w:val="sv-SE" w:eastAsia="zh-CN"/>
        </w:rPr>
        <w:t>5</w:t>
      </w:r>
      <w:r>
        <w:rPr>
          <w:lang w:val="sv-SE" w:eastAsia="zh-CN"/>
        </w:rPr>
        <w:t>: The NTN satellite will cover several cells/beams in a large area, and the service over each cell/beam can be a TDM-like manner.</w:t>
      </w:r>
    </w:p>
    <w:p w14:paraId="063A73DC" w14:textId="77777777" w:rsidR="00B420B2" w:rsidRDefault="00B420B2" w:rsidP="00B420B2">
      <w:pPr>
        <w:rPr>
          <w:lang w:val="sv-SE" w:eastAsia="zh-CN"/>
        </w:rPr>
      </w:pPr>
    </w:p>
    <w:p w14:paraId="0B7B7CBE" w14:textId="77777777" w:rsidR="00B420B2" w:rsidRDefault="00B420B2" w:rsidP="00B420B2">
      <w:pPr>
        <w:rPr>
          <w:lang w:val="sv-SE" w:eastAsia="zh-CN"/>
        </w:rPr>
      </w:pPr>
      <w:r>
        <w:rPr>
          <w:lang w:val="sv-SE" w:eastAsia="zh-CN"/>
        </w:rPr>
        <w:lastRenderedPageBreak/>
        <w:t>If we look at the current TN duty cycle based SAR solution, it requires HPUE to report its max uplink duty cycle capability and to receive the current network uplink configurations to understand the uplink transmission ratio in time domain and peroform power class back off if curretn network uplink configuration is higher than the reported capability of this HPUE.</w:t>
      </w:r>
    </w:p>
    <w:p w14:paraId="1B6D32E2" w14:textId="77777777" w:rsidR="00B420B2" w:rsidRDefault="00B420B2" w:rsidP="00B420B2">
      <w:pPr>
        <w:rPr>
          <w:lang w:val="sv-SE" w:eastAsia="zh-CN"/>
        </w:rPr>
      </w:pPr>
      <w:r>
        <w:rPr>
          <w:lang w:val="sv-SE" w:eastAsia="zh-CN"/>
        </w:rPr>
        <w:t>The following issues remains for NTN to adopt a duty cycle based SAR:</w:t>
      </w:r>
    </w:p>
    <w:p w14:paraId="4745C1DF" w14:textId="77777777" w:rsidR="00B420B2" w:rsidRPr="00926F40" w:rsidRDefault="00B420B2" w:rsidP="00B420B2">
      <w:pPr>
        <w:pStyle w:val="a6"/>
        <w:numPr>
          <w:ilvl w:val="0"/>
          <w:numId w:val="48"/>
        </w:numPr>
        <w:ind w:firstLineChars="0"/>
        <w:rPr>
          <w:lang w:val="sv-SE"/>
        </w:rPr>
      </w:pPr>
      <w:r w:rsidRPr="00926F40">
        <w:rPr>
          <w:lang w:val="sv-SE"/>
        </w:rPr>
        <w:t>the NTN FDD bands does not provide such TDD UL/DL slot configuration</w:t>
      </w:r>
      <w:r>
        <w:rPr>
          <w:lang w:val="sv-SE"/>
        </w:rPr>
        <w:t xml:space="preserve"> which is for a TDD band,</w:t>
      </w:r>
      <w:r w:rsidRPr="00926F40">
        <w:rPr>
          <w:lang w:val="sv-SE"/>
        </w:rPr>
        <w:t xml:space="preserve"> </w:t>
      </w:r>
      <w:r>
        <w:rPr>
          <w:lang w:val="sv-SE"/>
        </w:rPr>
        <w:t>that</w:t>
      </w:r>
      <w:r w:rsidRPr="00926F40">
        <w:rPr>
          <w:lang w:val="sv-SE"/>
        </w:rPr>
        <w:t xml:space="preserve"> can indicate the uplink transmission ratio in a semi-static way;</w:t>
      </w:r>
    </w:p>
    <w:p w14:paraId="5A2B6393" w14:textId="77777777" w:rsidR="00B420B2" w:rsidRDefault="00B420B2" w:rsidP="00B420B2">
      <w:pPr>
        <w:pStyle w:val="a6"/>
        <w:numPr>
          <w:ilvl w:val="0"/>
          <w:numId w:val="48"/>
        </w:numPr>
        <w:ind w:firstLineChars="0"/>
        <w:rPr>
          <w:lang w:val="sv-SE"/>
        </w:rPr>
      </w:pPr>
      <w:r>
        <w:rPr>
          <w:lang w:val="sv-SE"/>
        </w:rPr>
        <w:t>the NTN TDM-like service over all its serving beam/cell can be implmentation based, then the uplink ratio for a serving cell or beam or the particular HPUE can be different from time to time;</w:t>
      </w:r>
    </w:p>
    <w:p w14:paraId="4D97D6E4" w14:textId="77777777" w:rsidR="00B420B2" w:rsidRDefault="00B420B2" w:rsidP="00B420B2">
      <w:pPr>
        <w:pStyle w:val="a6"/>
        <w:numPr>
          <w:ilvl w:val="0"/>
          <w:numId w:val="48"/>
        </w:numPr>
        <w:ind w:firstLineChars="0"/>
        <w:rPr>
          <w:lang w:val="sv-SE"/>
        </w:rPr>
      </w:pPr>
      <w:r>
        <w:rPr>
          <w:lang w:val="sv-SE"/>
        </w:rPr>
        <w:t>Compared to the SAR regulatory requirements, which accumulate the SAR exposure in a consecutive 6 mins time window, the NTN HPUE uplink transmission can be comparably short but critical if it’s a public safety or life threatening use case.</w:t>
      </w:r>
    </w:p>
    <w:p w14:paraId="551BD686" w14:textId="77777777" w:rsidR="00B420B2" w:rsidRDefault="00B420B2" w:rsidP="00B420B2">
      <w:pPr>
        <w:rPr>
          <w:lang w:val="sv-SE"/>
        </w:rPr>
      </w:pPr>
    </w:p>
    <w:p w14:paraId="2801A986" w14:textId="659ED71A" w:rsidR="00B420B2" w:rsidRDefault="00B420B2" w:rsidP="00B420B2">
      <w:pPr>
        <w:rPr>
          <w:lang w:val="sv-SE" w:eastAsia="zh-CN"/>
        </w:rPr>
      </w:pPr>
      <w:bookmarkStart w:id="3" w:name="OLE_LINK6"/>
      <w:bookmarkStart w:id="4" w:name="OLE_LINK7"/>
      <w:r w:rsidRPr="002D0A5E">
        <w:rPr>
          <w:rFonts w:hint="eastAsia"/>
          <w:b/>
          <w:lang w:val="sv-SE" w:eastAsia="zh-CN"/>
        </w:rPr>
        <w:t>O</w:t>
      </w:r>
      <w:r w:rsidRPr="002D0A5E">
        <w:rPr>
          <w:b/>
          <w:lang w:val="sv-SE" w:eastAsia="zh-CN"/>
        </w:rPr>
        <w:t xml:space="preserve">bservation </w:t>
      </w:r>
      <w:r w:rsidR="00126827">
        <w:rPr>
          <w:b/>
          <w:lang w:val="sv-SE" w:eastAsia="zh-CN"/>
        </w:rPr>
        <w:t>6</w:t>
      </w:r>
      <w:r>
        <w:rPr>
          <w:lang w:val="sv-SE" w:eastAsia="zh-CN"/>
        </w:rPr>
        <w:t>: The NTN network may work in a TDM-manner to cover all its serving cells and beams, but the SAN coverage over each of its serving cells/beams can be implmenetation based. In this case, the SAN may not be able to send its configured uplink ratio in each cell or beam to the UE, or it may not be a semi-static configurations.</w:t>
      </w:r>
    </w:p>
    <w:bookmarkEnd w:id="3"/>
    <w:bookmarkEnd w:id="4"/>
    <w:p w14:paraId="62D14129" w14:textId="77777777" w:rsidR="00B420B2" w:rsidRDefault="00B420B2" w:rsidP="00B420B2">
      <w:pPr>
        <w:rPr>
          <w:lang w:val="sv-SE" w:eastAsia="zh-CN"/>
        </w:rPr>
      </w:pPr>
      <w:r>
        <w:rPr>
          <w:lang w:val="sv-SE" w:eastAsia="zh-CN"/>
        </w:rPr>
        <w:t>The SAR exposure time window is 6 mins. And the HPUE uplink transmission can be occasional and short compared to this time window, and the uplink transmission can be critical if its a life threatening or public safety related transmissions.</w:t>
      </w:r>
    </w:p>
    <w:p w14:paraId="10BDA6AD" w14:textId="653DC593" w:rsidR="00B420B2" w:rsidRDefault="00B420B2" w:rsidP="00B420B2">
      <w:pPr>
        <w:rPr>
          <w:lang w:val="sv-SE" w:eastAsia="zh-CN"/>
        </w:rPr>
      </w:pPr>
      <w:r>
        <w:rPr>
          <w:b/>
          <w:lang w:val="sv-SE" w:eastAsia="zh-CN"/>
        </w:rPr>
        <w:t>Observation</w:t>
      </w:r>
      <w:r w:rsidR="00126827">
        <w:rPr>
          <w:b/>
          <w:lang w:val="sv-SE" w:eastAsia="zh-CN"/>
        </w:rPr>
        <w:t>7</w:t>
      </w:r>
      <w:r>
        <w:rPr>
          <w:lang w:val="sv-SE" w:eastAsia="zh-CN"/>
        </w:rPr>
        <w:t xml:space="preserve">: </w:t>
      </w:r>
      <w:r>
        <w:rPr>
          <w:rFonts w:hint="eastAsia"/>
          <w:lang w:val="sv-SE" w:eastAsia="zh-CN"/>
        </w:rPr>
        <w:t>E</w:t>
      </w:r>
      <w:r>
        <w:rPr>
          <w:lang w:val="sv-SE" w:eastAsia="zh-CN"/>
        </w:rPr>
        <w:t xml:space="preserve">ven if such uplink ratio configuration can be send to UE/cell/beam, the HPUE should be allowed to transmit as much as possible when performing its duty. </w:t>
      </w:r>
    </w:p>
    <w:p w14:paraId="56AFFA16" w14:textId="77777777" w:rsidR="00B420B2" w:rsidRDefault="00B420B2" w:rsidP="00B420B2">
      <w:pPr>
        <w:rPr>
          <w:lang w:val="sv-SE" w:eastAsia="zh-CN"/>
        </w:rPr>
      </w:pPr>
    </w:p>
    <w:p w14:paraId="381A0385" w14:textId="5D11B47E" w:rsidR="00B420B2" w:rsidRPr="00EB6EB4" w:rsidRDefault="00B420B2" w:rsidP="00B420B2">
      <w:pPr>
        <w:rPr>
          <w:b/>
          <w:lang w:val="sv-SE"/>
        </w:rPr>
      </w:pPr>
      <w:r w:rsidRPr="00EB6EB4">
        <w:rPr>
          <w:rFonts w:hint="eastAsia"/>
          <w:b/>
          <w:lang w:val="sv-SE" w:eastAsia="zh-CN"/>
        </w:rPr>
        <w:t>P</w:t>
      </w:r>
      <w:r w:rsidRPr="00EB6EB4">
        <w:rPr>
          <w:b/>
          <w:lang w:val="sv-SE" w:eastAsia="zh-CN"/>
        </w:rPr>
        <w:t>roposal 4</w:t>
      </w:r>
      <w:r>
        <w:rPr>
          <w:b/>
          <w:lang w:val="sv-SE" w:eastAsia="zh-CN"/>
        </w:rPr>
        <w:t>-1</w:t>
      </w:r>
      <w:r w:rsidRPr="00EB6EB4">
        <w:rPr>
          <w:b/>
          <w:lang w:val="sv-SE" w:eastAsia="zh-CN"/>
        </w:rPr>
        <w:t xml:space="preserve">: The duty cycle based SAR solution may not be applicable to </w:t>
      </w:r>
      <w:r w:rsidR="00B65EF0">
        <w:rPr>
          <w:b/>
          <w:lang w:val="sv-SE" w:eastAsia="zh-CN"/>
        </w:rPr>
        <w:t>IoT</w:t>
      </w:r>
      <w:r w:rsidRPr="00EB6EB4">
        <w:rPr>
          <w:b/>
          <w:lang w:val="sv-SE" w:eastAsia="zh-CN"/>
        </w:rPr>
        <w:t xml:space="preserve">-NTN cases, as the </w:t>
      </w:r>
      <w:r w:rsidR="00B65EF0">
        <w:rPr>
          <w:b/>
          <w:lang w:val="sv-SE" w:eastAsia="zh-CN"/>
        </w:rPr>
        <w:t>IoT</w:t>
      </w:r>
      <w:r w:rsidRPr="00EB6EB4">
        <w:rPr>
          <w:b/>
          <w:lang w:val="sv-SE" w:eastAsia="zh-CN"/>
        </w:rPr>
        <w:t>-NTN uplink duty cycle for each UE (or for each cell/beam) can be up to network implementation.</w:t>
      </w:r>
    </w:p>
    <w:p w14:paraId="5905E3E0" w14:textId="77777777" w:rsidR="00B420B2" w:rsidRDefault="00B420B2" w:rsidP="00B420B2">
      <w:pPr>
        <w:rPr>
          <w:lang w:val="sv-SE" w:eastAsia="zh-CN"/>
        </w:rPr>
      </w:pPr>
    </w:p>
    <w:p w14:paraId="5203EB0E" w14:textId="77777777" w:rsidR="00B420B2" w:rsidRPr="00302850" w:rsidRDefault="00B420B2" w:rsidP="00B420B2">
      <w:pPr>
        <w:rPr>
          <w:b/>
          <w:lang w:val="sv-SE" w:eastAsia="zh-CN"/>
        </w:rPr>
      </w:pPr>
      <w:r w:rsidRPr="00302850">
        <w:rPr>
          <w:rFonts w:hint="eastAsia"/>
          <w:b/>
          <w:lang w:val="sv-SE" w:eastAsia="zh-CN"/>
        </w:rPr>
        <w:t>P</w:t>
      </w:r>
      <w:r w:rsidRPr="00302850">
        <w:rPr>
          <w:b/>
          <w:lang w:val="sv-SE" w:eastAsia="zh-CN"/>
        </w:rPr>
        <w:t xml:space="preserve">roposal 4-2: If the SAN can send its configured uplink ratio for a particular UE or cell or beam, the NTN HPUE should </w:t>
      </w:r>
      <w:r>
        <w:rPr>
          <w:b/>
          <w:lang w:val="sv-SE" w:eastAsia="zh-CN"/>
        </w:rPr>
        <w:t>be allowed to transmit with its max Tx power as much as possible, considering the uplink transmission in a NTN scenario can be critical but short in time compared to 6mins SAR regulatory evaluation period.</w:t>
      </w:r>
    </w:p>
    <w:p w14:paraId="7B5D5A63" w14:textId="77777777" w:rsidR="00B420B2" w:rsidRPr="00D64FA5" w:rsidRDefault="00B420B2" w:rsidP="00B420B2">
      <w:pPr>
        <w:pStyle w:val="1"/>
        <w:jc w:val="both"/>
        <w:rPr>
          <w:lang w:val="en-US"/>
        </w:rPr>
      </w:pPr>
      <w:r>
        <w:rPr>
          <w:lang w:val="en-US"/>
        </w:rPr>
        <w:t>3</w:t>
      </w:r>
      <w:r>
        <w:rPr>
          <w:lang w:val="en-US"/>
        </w:rPr>
        <w:tab/>
      </w:r>
      <w:r w:rsidRPr="00D64FA5">
        <w:rPr>
          <w:lang w:val="en-US"/>
        </w:rPr>
        <w:t>Conclusion</w:t>
      </w:r>
    </w:p>
    <w:p w14:paraId="47619428" w14:textId="5BE071D9" w:rsidR="00B420B2" w:rsidRDefault="00B420B2" w:rsidP="00B420B2">
      <w:pPr>
        <w:rPr>
          <w:lang w:eastAsia="ja-JP"/>
        </w:rPr>
      </w:pPr>
      <w:r>
        <w:rPr>
          <w:rFonts w:hint="eastAsia"/>
          <w:lang w:eastAsia="ja-JP"/>
        </w:rPr>
        <w:t xml:space="preserve">For </w:t>
      </w:r>
      <w:r>
        <w:rPr>
          <w:lang w:eastAsia="ja-JP"/>
        </w:rPr>
        <w:t xml:space="preserve">the </w:t>
      </w:r>
      <w:r w:rsidR="00B65EF0">
        <w:rPr>
          <w:lang w:eastAsia="ja-JP"/>
        </w:rPr>
        <w:t>IoT</w:t>
      </w:r>
      <w:r>
        <w:rPr>
          <w:lang w:eastAsia="ja-JP"/>
        </w:rPr>
        <w:t>-</w:t>
      </w:r>
      <w:r>
        <w:rPr>
          <w:lang w:eastAsia="zh-CN"/>
        </w:rPr>
        <w:t>NTN HPUE Tx requirements</w:t>
      </w:r>
      <w:r>
        <w:rPr>
          <w:rFonts w:hint="eastAsia"/>
          <w:lang w:eastAsia="ja-JP"/>
        </w:rPr>
        <w:t>, w</w:t>
      </w:r>
      <w:r>
        <w:t xml:space="preserve">e propose </w:t>
      </w:r>
      <w:r>
        <w:rPr>
          <w:rFonts w:hint="eastAsia"/>
          <w:lang w:eastAsia="ja-JP"/>
        </w:rPr>
        <w:t>the following</w:t>
      </w:r>
      <w:r>
        <w:t>.</w:t>
      </w:r>
    </w:p>
    <w:p w14:paraId="79ADABEF" w14:textId="77777777" w:rsidR="00126827" w:rsidRDefault="00126827" w:rsidP="00126827">
      <w:pPr>
        <w:rPr>
          <w:lang w:val="sv-SE" w:eastAsia="zh-CN"/>
        </w:rPr>
      </w:pPr>
      <w:r w:rsidRPr="007020D0">
        <w:rPr>
          <w:rFonts w:hint="eastAsia"/>
          <w:b/>
          <w:lang w:val="sv-SE" w:eastAsia="zh-CN"/>
        </w:rPr>
        <w:t>O</w:t>
      </w:r>
      <w:r w:rsidRPr="007020D0">
        <w:rPr>
          <w:b/>
          <w:lang w:val="sv-SE" w:eastAsia="zh-CN"/>
        </w:rPr>
        <w:t>bservation 1</w:t>
      </w:r>
      <w:r>
        <w:rPr>
          <w:lang w:val="sv-SE" w:eastAsia="zh-CN"/>
        </w:rPr>
        <w:t>: The suggested ACLR for PC 2 is 24.5 dBc; and 28.9 dBc for PC1 from our study results.</w:t>
      </w:r>
    </w:p>
    <w:p w14:paraId="7AB98EBF" w14:textId="77777777" w:rsidR="00126827" w:rsidRPr="00994040" w:rsidRDefault="00126827" w:rsidP="00126827">
      <w:pPr>
        <w:rPr>
          <w:b/>
          <w:lang w:val="en-US" w:eastAsia="zh-CN"/>
        </w:rPr>
      </w:pPr>
      <w:r w:rsidRPr="00994040">
        <w:rPr>
          <w:b/>
          <w:lang w:val="en-US" w:eastAsia="zh-CN"/>
        </w:rPr>
        <w:t xml:space="preserve">Proposal 1: </w:t>
      </w:r>
      <w:r>
        <w:rPr>
          <w:b/>
          <w:lang w:val="en-US" w:eastAsia="zh-CN"/>
        </w:rPr>
        <w:t>Based on our co-ex study results, we suggest ACLR for NB IoT-NTN HPUE PC2 can be 24.5 dBc. And this can apply to both handheld and non-handheld devices.</w:t>
      </w:r>
    </w:p>
    <w:p w14:paraId="516B4136" w14:textId="77777777" w:rsidR="00B420B2" w:rsidRPr="00126827" w:rsidRDefault="00B420B2" w:rsidP="00B420B2">
      <w:pPr>
        <w:rPr>
          <w:b/>
          <w:lang w:val="en-US" w:eastAsia="zh-CN"/>
        </w:rPr>
      </w:pPr>
    </w:p>
    <w:p w14:paraId="1D1657A5" w14:textId="77777777" w:rsidR="00126827" w:rsidRDefault="00126827" w:rsidP="00126827">
      <w:pPr>
        <w:rPr>
          <w:lang w:val="sv-SE" w:eastAsia="zh-CN"/>
        </w:rPr>
      </w:pPr>
      <w:r w:rsidRPr="00DF55F3">
        <w:rPr>
          <w:b/>
          <w:lang w:val="sv-SE" w:eastAsia="zh-CN"/>
        </w:rPr>
        <w:t xml:space="preserve">Observation </w:t>
      </w:r>
      <w:r>
        <w:rPr>
          <w:b/>
          <w:lang w:val="sv-SE" w:eastAsia="zh-CN"/>
        </w:rPr>
        <w:t>2</w:t>
      </w:r>
      <w:r>
        <w:rPr>
          <w:lang w:val="sv-SE" w:eastAsia="zh-CN"/>
        </w:rPr>
        <w:t>: Our study suggests a lower ACLR requirement for PC2 compared to the IoT-NTN PC3 ACLR requirements, which does not introduce challenge to meet ACLR.</w:t>
      </w:r>
    </w:p>
    <w:p w14:paraId="757C3830" w14:textId="77777777" w:rsidR="00126827" w:rsidRPr="00DF55F3" w:rsidRDefault="00126827" w:rsidP="00126827">
      <w:pPr>
        <w:rPr>
          <w:b/>
          <w:lang w:val="sv-SE" w:eastAsia="zh-CN"/>
        </w:rPr>
      </w:pPr>
      <w:r w:rsidRPr="00DF55F3">
        <w:rPr>
          <w:b/>
          <w:lang w:val="sv-SE" w:eastAsia="zh-CN"/>
        </w:rPr>
        <w:t xml:space="preserve">Proposal 2: To re-use the </w:t>
      </w:r>
      <w:r>
        <w:rPr>
          <w:b/>
          <w:lang w:val="sv-SE" w:eastAsia="zh-CN"/>
        </w:rPr>
        <w:t>IoT-NTN PC3 MPR requirements for IoT-NTN PC2 as starting point</w:t>
      </w:r>
      <w:r w:rsidRPr="00DF55F3">
        <w:rPr>
          <w:b/>
          <w:lang w:val="sv-SE" w:eastAsia="zh-CN"/>
        </w:rPr>
        <w:t>.</w:t>
      </w:r>
    </w:p>
    <w:p w14:paraId="2B5951A8" w14:textId="77777777" w:rsidR="00B420B2" w:rsidRPr="00126827" w:rsidRDefault="00B420B2" w:rsidP="00B420B2">
      <w:pPr>
        <w:rPr>
          <w:b/>
          <w:lang w:val="sv-SE" w:eastAsia="zh-CN"/>
        </w:rPr>
      </w:pPr>
    </w:p>
    <w:p w14:paraId="4663431E" w14:textId="77777777" w:rsidR="00126827" w:rsidRPr="00090D78" w:rsidRDefault="00126827" w:rsidP="00126827">
      <w:pPr>
        <w:rPr>
          <w:b/>
          <w:lang w:val="sv-SE" w:eastAsia="zh-CN"/>
        </w:rPr>
      </w:pPr>
      <w:r w:rsidRPr="00090D78">
        <w:rPr>
          <w:b/>
          <w:lang w:val="sv-SE" w:eastAsia="zh-CN"/>
        </w:rPr>
        <w:t>Proposal 3: To re-use existing SEM requirments from PC3 to other PCs.</w:t>
      </w:r>
    </w:p>
    <w:p w14:paraId="3BFAEDF0" w14:textId="77777777" w:rsidR="00126827" w:rsidRDefault="00126827" w:rsidP="00B420B2">
      <w:pPr>
        <w:rPr>
          <w:b/>
          <w:lang w:val="sv-SE" w:eastAsia="zh-CN"/>
        </w:rPr>
      </w:pPr>
    </w:p>
    <w:p w14:paraId="62B3DD31" w14:textId="77777777" w:rsidR="00126827" w:rsidRDefault="00126827" w:rsidP="00126827">
      <w:pPr>
        <w:rPr>
          <w:lang w:val="sv-SE" w:eastAsia="zh-CN"/>
        </w:rPr>
      </w:pPr>
      <w:r w:rsidRPr="00D37AD4">
        <w:rPr>
          <w:rFonts w:hint="eastAsia"/>
          <w:b/>
          <w:lang w:val="sv-SE" w:eastAsia="zh-CN"/>
        </w:rPr>
        <w:lastRenderedPageBreak/>
        <w:t>O</w:t>
      </w:r>
      <w:r w:rsidRPr="00D37AD4">
        <w:rPr>
          <w:b/>
          <w:lang w:val="sv-SE" w:eastAsia="zh-CN"/>
        </w:rPr>
        <w:t>bservation</w:t>
      </w:r>
      <w:r>
        <w:rPr>
          <w:b/>
          <w:lang w:val="sv-SE" w:eastAsia="zh-CN"/>
        </w:rPr>
        <w:t xml:space="preserve"> 4</w:t>
      </w:r>
      <w:r>
        <w:rPr>
          <w:lang w:val="sv-SE" w:eastAsia="zh-CN"/>
        </w:rPr>
        <w:t xml:space="preserve">: The NTN HPUE use cases including to provide service during severe weather conditions and natural disasters, which requires higher power to compensate the increasing pathloss due to longer distance and potential additional rain/cloud fadings during those conditions. </w:t>
      </w:r>
    </w:p>
    <w:p w14:paraId="20FF8AC4" w14:textId="77777777" w:rsidR="00126827" w:rsidRDefault="00126827" w:rsidP="00126827">
      <w:pPr>
        <w:rPr>
          <w:lang w:val="sv-SE" w:eastAsia="zh-CN"/>
        </w:rPr>
      </w:pPr>
      <w:r w:rsidRPr="00D37AD4">
        <w:rPr>
          <w:b/>
          <w:lang w:val="sv-SE" w:eastAsia="zh-CN"/>
        </w:rPr>
        <w:t xml:space="preserve">Observation </w:t>
      </w:r>
      <w:r>
        <w:rPr>
          <w:b/>
          <w:lang w:val="sv-SE" w:eastAsia="zh-CN"/>
        </w:rPr>
        <w:t>5</w:t>
      </w:r>
      <w:r>
        <w:rPr>
          <w:lang w:val="sv-SE" w:eastAsia="zh-CN"/>
        </w:rPr>
        <w:t>: The NTN satellite will cover several cells/beams in a large area, and the service over each cell/beam can be a TDM-like manner.</w:t>
      </w:r>
    </w:p>
    <w:p w14:paraId="0684D6A7" w14:textId="77777777" w:rsidR="00126827" w:rsidRDefault="00126827" w:rsidP="00126827">
      <w:pPr>
        <w:rPr>
          <w:lang w:val="sv-SE" w:eastAsia="zh-CN"/>
        </w:rPr>
      </w:pPr>
      <w:r w:rsidRPr="002D0A5E">
        <w:rPr>
          <w:rFonts w:hint="eastAsia"/>
          <w:b/>
          <w:lang w:val="sv-SE" w:eastAsia="zh-CN"/>
        </w:rPr>
        <w:t>O</w:t>
      </w:r>
      <w:r w:rsidRPr="002D0A5E">
        <w:rPr>
          <w:b/>
          <w:lang w:val="sv-SE" w:eastAsia="zh-CN"/>
        </w:rPr>
        <w:t xml:space="preserve">bservation </w:t>
      </w:r>
      <w:r>
        <w:rPr>
          <w:b/>
          <w:lang w:val="sv-SE" w:eastAsia="zh-CN"/>
        </w:rPr>
        <w:t>6</w:t>
      </w:r>
      <w:r>
        <w:rPr>
          <w:lang w:val="sv-SE" w:eastAsia="zh-CN"/>
        </w:rPr>
        <w:t>: The NTN network may work in a TDM-manner to cover all its serving cells and beams, but the SAN coverage over each of its serving cells/beams can be implmenetation based. In this case, the SAN may not be able to send its configured uplink ratio in each cell or beam to the UE, or it may not be a semi-static configurations.</w:t>
      </w:r>
    </w:p>
    <w:p w14:paraId="64188994" w14:textId="77777777" w:rsidR="00126827" w:rsidRDefault="00126827" w:rsidP="00126827">
      <w:pPr>
        <w:rPr>
          <w:lang w:val="sv-SE" w:eastAsia="zh-CN"/>
        </w:rPr>
      </w:pPr>
      <w:r>
        <w:rPr>
          <w:b/>
          <w:lang w:val="sv-SE" w:eastAsia="zh-CN"/>
        </w:rPr>
        <w:t>Observation7</w:t>
      </w:r>
      <w:r>
        <w:rPr>
          <w:lang w:val="sv-SE" w:eastAsia="zh-CN"/>
        </w:rPr>
        <w:t xml:space="preserve">: </w:t>
      </w:r>
      <w:r>
        <w:rPr>
          <w:rFonts w:hint="eastAsia"/>
          <w:lang w:val="sv-SE" w:eastAsia="zh-CN"/>
        </w:rPr>
        <w:t>E</w:t>
      </w:r>
      <w:r>
        <w:rPr>
          <w:lang w:val="sv-SE" w:eastAsia="zh-CN"/>
        </w:rPr>
        <w:t xml:space="preserve">ven if such uplink ratio configuration can be send to UE/cell/beam, the HPUE should be allowed to transmit as much as possible when performing its duty. </w:t>
      </w:r>
    </w:p>
    <w:p w14:paraId="5C9AD852" w14:textId="77777777" w:rsidR="00126827" w:rsidRPr="00EB6EB4" w:rsidRDefault="00126827" w:rsidP="00126827">
      <w:pPr>
        <w:rPr>
          <w:b/>
          <w:lang w:val="sv-SE"/>
        </w:rPr>
      </w:pPr>
      <w:r w:rsidRPr="00EB6EB4">
        <w:rPr>
          <w:rFonts w:hint="eastAsia"/>
          <w:b/>
          <w:lang w:val="sv-SE" w:eastAsia="zh-CN"/>
        </w:rPr>
        <w:t>P</w:t>
      </w:r>
      <w:r w:rsidRPr="00EB6EB4">
        <w:rPr>
          <w:b/>
          <w:lang w:val="sv-SE" w:eastAsia="zh-CN"/>
        </w:rPr>
        <w:t>roposal 4</w:t>
      </w:r>
      <w:r>
        <w:rPr>
          <w:b/>
          <w:lang w:val="sv-SE" w:eastAsia="zh-CN"/>
        </w:rPr>
        <w:t>-1</w:t>
      </w:r>
      <w:r w:rsidRPr="00EB6EB4">
        <w:rPr>
          <w:b/>
          <w:lang w:val="sv-SE" w:eastAsia="zh-CN"/>
        </w:rPr>
        <w:t xml:space="preserve">: The duty cycle based SAR solution may not be applicable to </w:t>
      </w:r>
      <w:r>
        <w:rPr>
          <w:b/>
          <w:lang w:val="sv-SE" w:eastAsia="zh-CN"/>
        </w:rPr>
        <w:t>IoT</w:t>
      </w:r>
      <w:r w:rsidRPr="00EB6EB4">
        <w:rPr>
          <w:b/>
          <w:lang w:val="sv-SE" w:eastAsia="zh-CN"/>
        </w:rPr>
        <w:t xml:space="preserve">-NTN cases, as the </w:t>
      </w:r>
      <w:r>
        <w:rPr>
          <w:b/>
          <w:lang w:val="sv-SE" w:eastAsia="zh-CN"/>
        </w:rPr>
        <w:t>IoT</w:t>
      </w:r>
      <w:r w:rsidRPr="00EB6EB4">
        <w:rPr>
          <w:b/>
          <w:lang w:val="sv-SE" w:eastAsia="zh-CN"/>
        </w:rPr>
        <w:t>-NTN uplink duty cycle for each UE (or for each cell/beam) can be up to network implementation.</w:t>
      </w:r>
    </w:p>
    <w:p w14:paraId="0C8FCBCA" w14:textId="3A874659" w:rsidR="00B420B2" w:rsidRPr="002673D3" w:rsidRDefault="00126827" w:rsidP="00B420B2">
      <w:pPr>
        <w:rPr>
          <w:b/>
          <w:lang w:val="sv-SE" w:eastAsia="zh-CN"/>
        </w:rPr>
      </w:pPr>
      <w:r w:rsidRPr="00302850">
        <w:rPr>
          <w:rFonts w:hint="eastAsia"/>
          <w:b/>
          <w:lang w:val="sv-SE" w:eastAsia="zh-CN"/>
        </w:rPr>
        <w:t>P</w:t>
      </w:r>
      <w:r w:rsidRPr="00302850">
        <w:rPr>
          <w:b/>
          <w:lang w:val="sv-SE" w:eastAsia="zh-CN"/>
        </w:rPr>
        <w:t xml:space="preserve">roposal 4-2: If the SAN can send its configured uplink ratio for a particular UE or cell or beam, the NTN HPUE should </w:t>
      </w:r>
      <w:r>
        <w:rPr>
          <w:b/>
          <w:lang w:val="sv-SE" w:eastAsia="zh-CN"/>
        </w:rPr>
        <w:t>be allowed to transmit with its max Tx power as much as possible, considering the uplink transmission in a NTN scenario can be critical but short in time compared to 6mins SAR regulatory evaluation period.</w:t>
      </w:r>
    </w:p>
    <w:p w14:paraId="0389B0BF" w14:textId="77777777" w:rsidR="00B420B2" w:rsidRPr="0042663F" w:rsidRDefault="00B420B2" w:rsidP="00B420B2">
      <w:pPr>
        <w:pStyle w:val="1"/>
        <w:jc w:val="both"/>
        <w:rPr>
          <w:lang w:val="en-US"/>
        </w:rPr>
      </w:pPr>
      <w:r>
        <w:rPr>
          <w:lang w:val="en-US"/>
        </w:rPr>
        <w:t>4</w:t>
      </w:r>
      <w:r>
        <w:rPr>
          <w:lang w:val="en-US"/>
        </w:rPr>
        <w:tab/>
      </w:r>
      <w:r w:rsidRPr="0042663F">
        <w:rPr>
          <w:lang w:val="en-US"/>
        </w:rPr>
        <w:t>Reference</w:t>
      </w:r>
    </w:p>
    <w:p w14:paraId="76BE3F2E" w14:textId="61838B34" w:rsidR="007A2D2A" w:rsidRPr="00B420B2" w:rsidRDefault="00B420B2" w:rsidP="00B420B2">
      <w:pPr>
        <w:rPr>
          <w:sz w:val="18"/>
          <w:szCs w:val="18"/>
          <w:lang w:val="en-US" w:eastAsia="zh-CN"/>
        </w:rPr>
      </w:pPr>
      <w:bookmarkStart w:id="5" w:name="OLE_LINK5"/>
      <w:r>
        <w:rPr>
          <w:lang w:val="sv-SE" w:eastAsia="zh-CN"/>
        </w:rPr>
        <w:t>[1] R4-2414452, WF on UE RF requirements for NTN HPUE, Samsung</w:t>
      </w:r>
      <w:bookmarkEnd w:id="5"/>
    </w:p>
    <w:sectPr w:rsidR="007A2D2A" w:rsidRPr="00B420B2" w:rsidSect="00C26C33">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6977E3" w14:textId="77777777" w:rsidR="003726FB" w:rsidRDefault="003726FB" w:rsidP="006165E1">
      <w:pPr>
        <w:spacing w:after="0"/>
      </w:pPr>
      <w:r>
        <w:separator/>
      </w:r>
    </w:p>
  </w:endnote>
  <w:endnote w:type="continuationSeparator" w:id="0">
    <w:p w14:paraId="517D855D" w14:textId="77777777" w:rsidR="003726FB" w:rsidRDefault="003726FB" w:rsidP="00616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00000000"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C6C0A" w14:textId="77777777" w:rsidR="003726FB" w:rsidRDefault="003726FB" w:rsidP="006165E1">
      <w:pPr>
        <w:spacing w:after="0"/>
      </w:pPr>
      <w:r>
        <w:separator/>
      </w:r>
    </w:p>
  </w:footnote>
  <w:footnote w:type="continuationSeparator" w:id="0">
    <w:p w14:paraId="744A37CD" w14:textId="77777777" w:rsidR="003726FB" w:rsidRDefault="003726FB" w:rsidP="006165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7A14444"/>
    <w:multiLevelType w:val="singleLevel"/>
    <w:tmpl w:val="A7A14444"/>
    <w:lvl w:ilvl="0">
      <w:start w:val="1"/>
      <w:numFmt w:val="bullet"/>
      <w:lvlText w:val=""/>
      <w:lvlJc w:val="left"/>
      <w:pPr>
        <w:ind w:left="420" w:hanging="420"/>
      </w:pPr>
      <w:rPr>
        <w:rFonts w:ascii="Wingdings" w:hAnsi="Wingdings" w:hint="default"/>
      </w:rPr>
    </w:lvl>
  </w:abstractNum>
  <w:abstractNum w:abstractNumId="1" w15:restartNumberingAfterBreak="0">
    <w:nsid w:val="AED9C976"/>
    <w:multiLevelType w:val="singleLevel"/>
    <w:tmpl w:val="AED9C976"/>
    <w:lvl w:ilvl="0">
      <w:start w:val="1"/>
      <w:numFmt w:val="bullet"/>
      <w:lvlText w:val="−"/>
      <w:lvlJc w:val="left"/>
      <w:pPr>
        <w:ind w:left="420" w:hanging="420"/>
      </w:pPr>
      <w:rPr>
        <w:rFonts w:ascii="Arial" w:hAnsi="Arial" w:cs="Arial" w:hint="default"/>
      </w:rPr>
    </w:lvl>
  </w:abstractNum>
  <w:abstractNum w:abstractNumId="2" w15:restartNumberingAfterBreak="0">
    <w:nsid w:val="0946605E"/>
    <w:multiLevelType w:val="hybridMultilevel"/>
    <w:tmpl w:val="E3106912"/>
    <w:lvl w:ilvl="0" w:tplc="411C5AE8">
      <w:start w:val="2"/>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9A5283C"/>
    <w:multiLevelType w:val="hybridMultilevel"/>
    <w:tmpl w:val="8C669AB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951AAC"/>
    <w:multiLevelType w:val="hybridMultilevel"/>
    <w:tmpl w:val="FE7A52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C03345"/>
    <w:multiLevelType w:val="hybridMultilevel"/>
    <w:tmpl w:val="5AD86E78"/>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F9738B4"/>
    <w:multiLevelType w:val="hybridMultilevel"/>
    <w:tmpl w:val="34808C28"/>
    <w:lvl w:ilvl="0" w:tplc="04090003">
      <w:start w:val="1"/>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0FA73C79"/>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FD05360"/>
    <w:multiLevelType w:val="hybridMultilevel"/>
    <w:tmpl w:val="B01E17E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AC01C8"/>
    <w:multiLevelType w:val="hybridMultilevel"/>
    <w:tmpl w:val="FAE0287A"/>
    <w:lvl w:ilvl="0" w:tplc="04090001">
      <w:start w:val="1"/>
      <w:numFmt w:val="bullet"/>
      <w:lvlText w:val=""/>
      <w:lvlJc w:val="left"/>
      <w:pPr>
        <w:ind w:left="864" w:hanging="360"/>
      </w:pPr>
      <w:rPr>
        <w:rFonts w:ascii="Symbol" w:hAnsi="Symbol" w:hint="default"/>
      </w:rPr>
    </w:lvl>
    <w:lvl w:ilvl="1" w:tplc="04090003">
      <w:start w:val="1"/>
      <w:numFmt w:val="bullet"/>
      <w:lvlText w:val="o"/>
      <w:lvlJc w:val="left"/>
      <w:pPr>
        <w:ind w:left="1584" w:hanging="360"/>
      </w:pPr>
      <w:rPr>
        <w:rFonts w:ascii="Courier New" w:hAnsi="Courier New" w:cs="Courier New" w:hint="default"/>
      </w:rPr>
    </w:lvl>
    <w:lvl w:ilvl="2" w:tplc="04090005">
      <w:start w:val="1"/>
      <w:numFmt w:val="bullet"/>
      <w:lvlText w:val=""/>
      <w:lvlJc w:val="left"/>
      <w:pPr>
        <w:ind w:left="2304" w:hanging="360"/>
      </w:pPr>
      <w:rPr>
        <w:rFonts w:ascii="Wingdings" w:hAnsi="Wingdings" w:hint="default"/>
      </w:rPr>
    </w:lvl>
    <w:lvl w:ilvl="3" w:tplc="04090001">
      <w:start w:val="1"/>
      <w:numFmt w:val="bullet"/>
      <w:lvlText w:val=""/>
      <w:lvlJc w:val="left"/>
      <w:pPr>
        <w:ind w:left="3024" w:hanging="360"/>
      </w:pPr>
      <w:rPr>
        <w:rFonts w:ascii="Symbol" w:hAnsi="Symbol" w:hint="default"/>
      </w:rPr>
    </w:lvl>
    <w:lvl w:ilvl="4" w:tplc="04090003">
      <w:start w:val="1"/>
      <w:numFmt w:val="bullet"/>
      <w:lvlText w:val="o"/>
      <w:lvlJc w:val="left"/>
      <w:pPr>
        <w:ind w:left="3744" w:hanging="360"/>
      </w:pPr>
      <w:rPr>
        <w:rFonts w:ascii="Courier New" w:hAnsi="Courier New" w:cs="Courier New" w:hint="default"/>
      </w:rPr>
    </w:lvl>
    <w:lvl w:ilvl="5" w:tplc="04090005">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5" w15:restartNumberingAfterBreak="0">
    <w:nsid w:val="18D83EEA"/>
    <w:multiLevelType w:val="hybridMultilevel"/>
    <w:tmpl w:val="D0E44F2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CDC661B"/>
    <w:multiLevelType w:val="hybridMultilevel"/>
    <w:tmpl w:val="BF98B94C"/>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951375"/>
    <w:multiLevelType w:val="hybridMultilevel"/>
    <w:tmpl w:val="CC02168A"/>
    <w:lvl w:ilvl="0" w:tplc="A1CEEB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1B630A"/>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78C65DA"/>
    <w:multiLevelType w:val="hybridMultilevel"/>
    <w:tmpl w:val="30A0C24A"/>
    <w:lvl w:ilvl="0" w:tplc="D6B4671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F56828"/>
    <w:multiLevelType w:val="hybridMultilevel"/>
    <w:tmpl w:val="3A0C5E5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F523DE"/>
    <w:multiLevelType w:val="hybridMultilevel"/>
    <w:tmpl w:val="F0324396"/>
    <w:lvl w:ilvl="0" w:tplc="878217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9704397"/>
    <w:multiLevelType w:val="hybridMultilevel"/>
    <w:tmpl w:val="E2160D72"/>
    <w:lvl w:ilvl="0" w:tplc="48C08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FE1651F"/>
    <w:multiLevelType w:val="hybridMultilevel"/>
    <w:tmpl w:val="E384DA88"/>
    <w:lvl w:ilvl="0" w:tplc="7EF61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344925"/>
    <w:multiLevelType w:val="hybridMultilevel"/>
    <w:tmpl w:val="BBA8B61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B35500"/>
    <w:multiLevelType w:val="hybridMultilevel"/>
    <w:tmpl w:val="7B7A6DD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DF5137"/>
    <w:multiLevelType w:val="hybridMultilevel"/>
    <w:tmpl w:val="E9CCF30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240542F"/>
    <w:multiLevelType w:val="hybridMultilevel"/>
    <w:tmpl w:val="B90212A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94E728F"/>
    <w:multiLevelType w:val="hybridMultilevel"/>
    <w:tmpl w:val="9F028558"/>
    <w:lvl w:ilvl="0" w:tplc="FB022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1A7EC2"/>
    <w:multiLevelType w:val="hybridMultilevel"/>
    <w:tmpl w:val="7E3C2116"/>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AE73CE0"/>
    <w:multiLevelType w:val="multilevel"/>
    <w:tmpl w:val="4AE73C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BE43B47"/>
    <w:multiLevelType w:val="hybridMultilevel"/>
    <w:tmpl w:val="C3C600CE"/>
    <w:lvl w:ilvl="0" w:tplc="040C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F3A1C4A"/>
    <w:multiLevelType w:val="hybridMultilevel"/>
    <w:tmpl w:val="F28A1B06"/>
    <w:lvl w:ilvl="0" w:tplc="0AA01E60">
      <w:start w:val="4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1C075A"/>
    <w:multiLevelType w:val="hybridMultilevel"/>
    <w:tmpl w:val="8F80AB1A"/>
    <w:lvl w:ilvl="0" w:tplc="040C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6" w15:restartNumberingAfterBreak="0">
    <w:nsid w:val="50B2102B"/>
    <w:multiLevelType w:val="hybridMultilevel"/>
    <w:tmpl w:val="11ECCC76"/>
    <w:lvl w:ilvl="0" w:tplc="AE26525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15:restartNumberingAfterBreak="0">
    <w:nsid w:val="5BE539C0"/>
    <w:multiLevelType w:val="multilevel"/>
    <w:tmpl w:val="BED69272"/>
    <w:lvl w:ilvl="0">
      <w:start w:val="40"/>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D26080C"/>
    <w:multiLevelType w:val="hybridMultilevel"/>
    <w:tmpl w:val="AE68378C"/>
    <w:lvl w:ilvl="0" w:tplc="1B0AD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D564D96"/>
    <w:multiLevelType w:val="hybridMultilevel"/>
    <w:tmpl w:val="ADE23C52"/>
    <w:lvl w:ilvl="0" w:tplc="0AA01E60">
      <w:start w:val="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112192A"/>
    <w:multiLevelType w:val="multilevel"/>
    <w:tmpl w:val="711219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1617894"/>
    <w:multiLevelType w:val="hybridMultilevel"/>
    <w:tmpl w:val="85A6D2BC"/>
    <w:lvl w:ilvl="0" w:tplc="9C527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52673A"/>
    <w:multiLevelType w:val="hybridMultilevel"/>
    <w:tmpl w:val="C95A07C6"/>
    <w:lvl w:ilvl="0" w:tplc="F8F0B27C">
      <w:start w:val="2"/>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4067D4"/>
    <w:multiLevelType w:val="hybridMultilevel"/>
    <w:tmpl w:val="164EF8A0"/>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B851F3"/>
    <w:multiLevelType w:val="hybridMultilevel"/>
    <w:tmpl w:val="0ABADA0C"/>
    <w:lvl w:ilvl="0" w:tplc="58F8AE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7"/>
  </w:num>
  <w:num w:numId="2">
    <w:abstractNumId w:val="41"/>
  </w:num>
  <w:num w:numId="3">
    <w:abstractNumId w:val="0"/>
  </w:num>
  <w:num w:numId="4">
    <w:abstractNumId w:val="32"/>
  </w:num>
  <w:num w:numId="5">
    <w:abstractNumId w:val="30"/>
  </w:num>
  <w:num w:numId="6">
    <w:abstractNumId w:val="25"/>
  </w:num>
  <w:num w:numId="7">
    <w:abstractNumId w:val="26"/>
  </w:num>
  <w:num w:numId="8">
    <w:abstractNumId w:val="15"/>
  </w:num>
  <w:num w:numId="9">
    <w:abstractNumId w:val="31"/>
  </w:num>
  <w:num w:numId="10">
    <w:abstractNumId w:val="46"/>
  </w:num>
  <w:num w:numId="11">
    <w:abstractNumId w:val="9"/>
  </w:num>
  <w:num w:numId="12">
    <w:abstractNumId w:val="18"/>
  </w:num>
  <w:num w:numId="13">
    <w:abstractNumId w:val="10"/>
  </w:num>
  <w:num w:numId="14">
    <w:abstractNumId w:val="28"/>
  </w:num>
  <w:num w:numId="15">
    <w:abstractNumId w:val="16"/>
  </w:num>
  <w:num w:numId="16">
    <w:abstractNumId w:val="20"/>
  </w:num>
  <w:num w:numId="17">
    <w:abstractNumId w:val="27"/>
  </w:num>
  <w:num w:numId="18">
    <w:abstractNumId w:val="35"/>
  </w:num>
  <w:num w:numId="19">
    <w:abstractNumId w:val="3"/>
  </w:num>
  <w:num w:numId="20">
    <w:abstractNumId w:val="33"/>
  </w:num>
  <w:num w:numId="21">
    <w:abstractNumId w:val="5"/>
  </w:num>
  <w:num w:numId="22">
    <w:abstractNumId w:val="4"/>
  </w:num>
  <w:num w:numId="23">
    <w:abstractNumId w:val="40"/>
  </w:num>
  <w:num w:numId="24">
    <w:abstractNumId w:val="38"/>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4"/>
  </w:num>
  <w:num w:numId="27">
    <w:abstractNumId w:val="47"/>
  </w:num>
  <w:num w:numId="28">
    <w:abstractNumId w:val="36"/>
  </w:num>
  <w:num w:numId="29">
    <w:abstractNumId w:val="29"/>
  </w:num>
  <w:num w:numId="30">
    <w:abstractNumId w:val="17"/>
  </w:num>
  <w:num w:numId="31">
    <w:abstractNumId w:val="42"/>
  </w:num>
  <w:num w:numId="32">
    <w:abstractNumId w:val="19"/>
  </w:num>
  <w:num w:numId="33">
    <w:abstractNumId w:val="1"/>
  </w:num>
  <w:num w:numId="34">
    <w:abstractNumId w:val="14"/>
  </w:num>
  <w:num w:numId="35">
    <w:abstractNumId w:val="8"/>
  </w:num>
  <w:num w:numId="36">
    <w:abstractNumId w:val="6"/>
  </w:num>
  <w:num w:numId="37">
    <w:abstractNumId w:val="12"/>
  </w:num>
  <w:num w:numId="38">
    <w:abstractNumId w:val="45"/>
  </w:num>
  <w:num w:numId="39">
    <w:abstractNumId w:val="13"/>
  </w:num>
  <w:num w:numId="40">
    <w:abstractNumId w:val="11"/>
  </w:num>
  <w:num w:numId="41">
    <w:abstractNumId w:val="34"/>
  </w:num>
  <w:num w:numId="42">
    <w:abstractNumId w:val="2"/>
  </w:num>
  <w:num w:numId="43">
    <w:abstractNumId w:val="43"/>
  </w:num>
  <w:num w:numId="44">
    <w:abstractNumId w:val="23"/>
  </w:num>
  <w:num w:numId="45">
    <w:abstractNumId w:val="7"/>
  </w:num>
  <w:num w:numId="46">
    <w:abstractNumId w:val="44"/>
  </w:num>
  <w:num w:numId="47">
    <w:abstractNumId w:val="39"/>
  </w:num>
  <w:num w:numId="4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6C"/>
    <w:rsid w:val="0000190A"/>
    <w:rsid w:val="0000457E"/>
    <w:rsid w:val="00005B6D"/>
    <w:rsid w:val="00005C3B"/>
    <w:rsid w:val="000114F7"/>
    <w:rsid w:val="000126BE"/>
    <w:rsid w:val="00025AE6"/>
    <w:rsid w:val="00031F62"/>
    <w:rsid w:val="0003403D"/>
    <w:rsid w:val="0003540B"/>
    <w:rsid w:val="000376CE"/>
    <w:rsid w:val="000414A7"/>
    <w:rsid w:val="000461DB"/>
    <w:rsid w:val="00057514"/>
    <w:rsid w:val="00062129"/>
    <w:rsid w:val="0006795C"/>
    <w:rsid w:val="0007197B"/>
    <w:rsid w:val="000747CE"/>
    <w:rsid w:val="00074BC9"/>
    <w:rsid w:val="000761DD"/>
    <w:rsid w:val="00076746"/>
    <w:rsid w:val="00084121"/>
    <w:rsid w:val="0008662F"/>
    <w:rsid w:val="00087C16"/>
    <w:rsid w:val="00092C90"/>
    <w:rsid w:val="000A2D5A"/>
    <w:rsid w:val="000A62F0"/>
    <w:rsid w:val="000A66B6"/>
    <w:rsid w:val="000B0F0F"/>
    <w:rsid w:val="000B39D7"/>
    <w:rsid w:val="000B500E"/>
    <w:rsid w:val="000D2169"/>
    <w:rsid w:val="000D76FD"/>
    <w:rsid w:val="000E7E6F"/>
    <w:rsid w:val="001019D0"/>
    <w:rsid w:val="001045CF"/>
    <w:rsid w:val="00111B5C"/>
    <w:rsid w:val="00113700"/>
    <w:rsid w:val="001157B3"/>
    <w:rsid w:val="00117B0A"/>
    <w:rsid w:val="00121402"/>
    <w:rsid w:val="00125501"/>
    <w:rsid w:val="00126827"/>
    <w:rsid w:val="00137303"/>
    <w:rsid w:val="001469E5"/>
    <w:rsid w:val="0016628D"/>
    <w:rsid w:val="00167EEB"/>
    <w:rsid w:val="00170A1E"/>
    <w:rsid w:val="00182F5C"/>
    <w:rsid w:val="001852D3"/>
    <w:rsid w:val="001A3FB5"/>
    <w:rsid w:val="001B593C"/>
    <w:rsid w:val="001B6EBE"/>
    <w:rsid w:val="001C1FE2"/>
    <w:rsid w:val="001C2C3B"/>
    <w:rsid w:val="001D12C7"/>
    <w:rsid w:val="001D1C53"/>
    <w:rsid w:val="001D28D3"/>
    <w:rsid w:val="001D759D"/>
    <w:rsid w:val="001E2428"/>
    <w:rsid w:val="001F11C7"/>
    <w:rsid w:val="001F62FC"/>
    <w:rsid w:val="00213C59"/>
    <w:rsid w:val="00216843"/>
    <w:rsid w:val="00231CC1"/>
    <w:rsid w:val="00236C4A"/>
    <w:rsid w:val="002458C8"/>
    <w:rsid w:val="00245A6E"/>
    <w:rsid w:val="002523E5"/>
    <w:rsid w:val="00253F79"/>
    <w:rsid w:val="0025747D"/>
    <w:rsid w:val="0026687D"/>
    <w:rsid w:val="0026693D"/>
    <w:rsid w:val="002673D3"/>
    <w:rsid w:val="0027793E"/>
    <w:rsid w:val="00280C3B"/>
    <w:rsid w:val="00283DA2"/>
    <w:rsid w:val="0028586C"/>
    <w:rsid w:val="00285F5F"/>
    <w:rsid w:val="00297370"/>
    <w:rsid w:val="002A4E5D"/>
    <w:rsid w:val="002B2A9B"/>
    <w:rsid w:val="002B2DCA"/>
    <w:rsid w:val="002B35A3"/>
    <w:rsid w:val="002B3F19"/>
    <w:rsid w:val="002B4A4E"/>
    <w:rsid w:val="002C528E"/>
    <w:rsid w:val="002C7B77"/>
    <w:rsid w:val="002D2A0C"/>
    <w:rsid w:val="002D7346"/>
    <w:rsid w:val="002E2852"/>
    <w:rsid w:val="002E4648"/>
    <w:rsid w:val="002F2585"/>
    <w:rsid w:val="002F40A7"/>
    <w:rsid w:val="002F4438"/>
    <w:rsid w:val="002F44EF"/>
    <w:rsid w:val="002F6239"/>
    <w:rsid w:val="00300E16"/>
    <w:rsid w:val="0030508F"/>
    <w:rsid w:val="0030663C"/>
    <w:rsid w:val="00310587"/>
    <w:rsid w:val="003168C7"/>
    <w:rsid w:val="00325A14"/>
    <w:rsid w:val="0033218E"/>
    <w:rsid w:val="00356FF3"/>
    <w:rsid w:val="00366B81"/>
    <w:rsid w:val="003676AB"/>
    <w:rsid w:val="003726FB"/>
    <w:rsid w:val="003813E5"/>
    <w:rsid w:val="00383A21"/>
    <w:rsid w:val="00386DF4"/>
    <w:rsid w:val="00387B65"/>
    <w:rsid w:val="00393D9C"/>
    <w:rsid w:val="003A2C1B"/>
    <w:rsid w:val="003A39AE"/>
    <w:rsid w:val="003B1928"/>
    <w:rsid w:val="003B2BFF"/>
    <w:rsid w:val="003B46EC"/>
    <w:rsid w:val="003C15F9"/>
    <w:rsid w:val="003C40AC"/>
    <w:rsid w:val="003C6A2A"/>
    <w:rsid w:val="003D04FF"/>
    <w:rsid w:val="003D1CCF"/>
    <w:rsid w:val="003D7DDE"/>
    <w:rsid w:val="003E23C3"/>
    <w:rsid w:val="003E2F2D"/>
    <w:rsid w:val="003F3C93"/>
    <w:rsid w:val="004021D1"/>
    <w:rsid w:val="00406D22"/>
    <w:rsid w:val="00406F86"/>
    <w:rsid w:val="00412E23"/>
    <w:rsid w:val="004137CD"/>
    <w:rsid w:val="0042293C"/>
    <w:rsid w:val="004249FC"/>
    <w:rsid w:val="00424BF4"/>
    <w:rsid w:val="004267D5"/>
    <w:rsid w:val="004346B5"/>
    <w:rsid w:val="00435458"/>
    <w:rsid w:val="004418D4"/>
    <w:rsid w:val="00452AC3"/>
    <w:rsid w:val="00457292"/>
    <w:rsid w:val="0045780A"/>
    <w:rsid w:val="00457ACF"/>
    <w:rsid w:val="00457F45"/>
    <w:rsid w:val="0046573E"/>
    <w:rsid w:val="00465F0C"/>
    <w:rsid w:val="00472F60"/>
    <w:rsid w:val="00474FCF"/>
    <w:rsid w:val="0049313B"/>
    <w:rsid w:val="004A139B"/>
    <w:rsid w:val="004A1D6C"/>
    <w:rsid w:val="004A3216"/>
    <w:rsid w:val="004B0981"/>
    <w:rsid w:val="004B2C6F"/>
    <w:rsid w:val="004B54EE"/>
    <w:rsid w:val="004E67B5"/>
    <w:rsid w:val="004F4EE5"/>
    <w:rsid w:val="004F6D35"/>
    <w:rsid w:val="00503A7B"/>
    <w:rsid w:val="00504FEF"/>
    <w:rsid w:val="005060A4"/>
    <w:rsid w:val="005156A1"/>
    <w:rsid w:val="00515955"/>
    <w:rsid w:val="00517AC1"/>
    <w:rsid w:val="00536915"/>
    <w:rsid w:val="00537B87"/>
    <w:rsid w:val="005456F0"/>
    <w:rsid w:val="00547CAD"/>
    <w:rsid w:val="00556B7A"/>
    <w:rsid w:val="00561FF8"/>
    <w:rsid w:val="005670F7"/>
    <w:rsid w:val="005706F0"/>
    <w:rsid w:val="00574BDC"/>
    <w:rsid w:val="00597358"/>
    <w:rsid w:val="005A1996"/>
    <w:rsid w:val="005A52C3"/>
    <w:rsid w:val="005A6BE9"/>
    <w:rsid w:val="005B3563"/>
    <w:rsid w:val="005C135C"/>
    <w:rsid w:val="005C3D4B"/>
    <w:rsid w:val="005C4278"/>
    <w:rsid w:val="005D339F"/>
    <w:rsid w:val="005D6F82"/>
    <w:rsid w:val="005E1D56"/>
    <w:rsid w:val="005E40C3"/>
    <w:rsid w:val="005F0936"/>
    <w:rsid w:val="005F1C54"/>
    <w:rsid w:val="005F1DCE"/>
    <w:rsid w:val="005F4EB2"/>
    <w:rsid w:val="005F57BB"/>
    <w:rsid w:val="005F621C"/>
    <w:rsid w:val="006039E6"/>
    <w:rsid w:val="00606B70"/>
    <w:rsid w:val="006165E1"/>
    <w:rsid w:val="00616EB0"/>
    <w:rsid w:val="0062060A"/>
    <w:rsid w:val="00622675"/>
    <w:rsid w:val="00622CF2"/>
    <w:rsid w:val="006308E1"/>
    <w:rsid w:val="006355E3"/>
    <w:rsid w:val="006412B1"/>
    <w:rsid w:val="00641CA5"/>
    <w:rsid w:val="006427A8"/>
    <w:rsid w:val="0064471C"/>
    <w:rsid w:val="006540F2"/>
    <w:rsid w:val="006553F2"/>
    <w:rsid w:val="00665DEF"/>
    <w:rsid w:val="00673034"/>
    <w:rsid w:val="0068031F"/>
    <w:rsid w:val="006924D0"/>
    <w:rsid w:val="006A42EE"/>
    <w:rsid w:val="006A5323"/>
    <w:rsid w:val="006A6BBE"/>
    <w:rsid w:val="006B26E6"/>
    <w:rsid w:val="006C0AE1"/>
    <w:rsid w:val="006C178C"/>
    <w:rsid w:val="006C74F2"/>
    <w:rsid w:val="006D53CD"/>
    <w:rsid w:val="006D77DC"/>
    <w:rsid w:val="006E7BB8"/>
    <w:rsid w:val="006F722C"/>
    <w:rsid w:val="007123A0"/>
    <w:rsid w:val="0071744B"/>
    <w:rsid w:val="00717CA0"/>
    <w:rsid w:val="00724458"/>
    <w:rsid w:val="00724C05"/>
    <w:rsid w:val="00727A35"/>
    <w:rsid w:val="00727BFD"/>
    <w:rsid w:val="007305D9"/>
    <w:rsid w:val="00731E20"/>
    <w:rsid w:val="0073665F"/>
    <w:rsid w:val="00744516"/>
    <w:rsid w:val="0076153D"/>
    <w:rsid w:val="0076472B"/>
    <w:rsid w:val="00766576"/>
    <w:rsid w:val="007712B3"/>
    <w:rsid w:val="00774444"/>
    <w:rsid w:val="00774626"/>
    <w:rsid w:val="00777EEF"/>
    <w:rsid w:val="00790A07"/>
    <w:rsid w:val="007A2D2A"/>
    <w:rsid w:val="007A77B2"/>
    <w:rsid w:val="007E0CCC"/>
    <w:rsid w:val="007E44A9"/>
    <w:rsid w:val="007E6DCB"/>
    <w:rsid w:val="007F18B3"/>
    <w:rsid w:val="007F578D"/>
    <w:rsid w:val="007F5DD2"/>
    <w:rsid w:val="007F6063"/>
    <w:rsid w:val="00806893"/>
    <w:rsid w:val="00815763"/>
    <w:rsid w:val="00815DE1"/>
    <w:rsid w:val="0081697C"/>
    <w:rsid w:val="00824F31"/>
    <w:rsid w:val="00835B1C"/>
    <w:rsid w:val="00850E13"/>
    <w:rsid w:val="00852FE5"/>
    <w:rsid w:val="00853C49"/>
    <w:rsid w:val="00857825"/>
    <w:rsid w:val="008726C7"/>
    <w:rsid w:val="00881CCD"/>
    <w:rsid w:val="00890CDE"/>
    <w:rsid w:val="00891C63"/>
    <w:rsid w:val="00892DC6"/>
    <w:rsid w:val="008A7BA9"/>
    <w:rsid w:val="008B2E9F"/>
    <w:rsid w:val="008B3E51"/>
    <w:rsid w:val="008C6750"/>
    <w:rsid w:val="008D0588"/>
    <w:rsid w:val="008D2DC6"/>
    <w:rsid w:val="008D58B4"/>
    <w:rsid w:val="008E1CED"/>
    <w:rsid w:val="008E343E"/>
    <w:rsid w:val="008F08D0"/>
    <w:rsid w:val="008F2706"/>
    <w:rsid w:val="00901346"/>
    <w:rsid w:val="0090321C"/>
    <w:rsid w:val="00914ABF"/>
    <w:rsid w:val="009238B9"/>
    <w:rsid w:val="00926389"/>
    <w:rsid w:val="009354CE"/>
    <w:rsid w:val="00935E78"/>
    <w:rsid w:val="0093677B"/>
    <w:rsid w:val="00940222"/>
    <w:rsid w:val="009458C1"/>
    <w:rsid w:val="00953A50"/>
    <w:rsid w:val="00961595"/>
    <w:rsid w:val="009748BF"/>
    <w:rsid w:val="009A7CA7"/>
    <w:rsid w:val="009B12AF"/>
    <w:rsid w:val="009B5839"/>
    <w:rsid w:val="009C6211"/>
    <w:rsid w:val="009D3239"/>
    <w:rsid w:val="009E4EB9"/>
    <w:rsid w:val="009E7B7F"/>
    <w:rsid w:val="00A01ADF"/>
    <w:rsid w:val="00A03687"/>
    <w:rsid w:val="00A047C0"/>
    <w:rsid w:val="00A22A01"/>
    <w:rsid w:val="00A3370F"/>
    <w:rsid w:val="00A3704C"/>
    <w:rsid w:val="00A37739"/>
    <w:rsid w:val="00A4082E"/>
    <w:rsid w:val="00A46DB4"/>
    <w:rsid w:val="00A50FCE"/>
    <w:rsid w:val="00A538F5"/>
    <w:rsid w:val="00A57AC6"/>
    <w:rsid w:val="00A71C58"/>
    <w:rsid w:val="00A83FF5"/>
    <w:rsid w:val="00A84450"/>
    <w:rsid w:val="00A85911"/>
    <w:rsid w:val="00AA0044"/>
    <w:rsid w:val="00AA2538"/>
    <w:rsid w:val="00AA391F"/>
    <w:rsid w:val="00AA45FC"/>
    <w:rsid w:val="00AB5D8F"/>
    <w:rsid w:val="00AB6467"/>
    <w:rsid w:val="00AB7619"/>
    <w:rsid w:val="00AC49ED"/>
    <w:rsid w:val="00AD5F6F"/>
    <w:rsid w:val="00AF0516"/>
    <w:rsid w:val="00AF6549"/>
    <w:rsid w:val="00B01D7A"/>
    <w:rsid w:val="00B04C4C"/>
    <w:rsid w:val="00B1135A"/>
    <w:rsid w:val="00B15694"/>
    <w:rsid w:val="00B27161"/>
    <w:rsid w:val="00B303FA"/>
    <w:rsid w:val="00B37695"/>
    <w:rsid w:val="00B420B2"/>
    <w:rsid w:val="00B42D8C"/>
    <w:rsid w:val="00B45152"/>
    <w:rsid w:val="00B46BCB"/>
    <w:rsid w:val="00B65EF0"/>
    <w:rsid w:val="00B738EA"/>
    <w:rsid w:val="00B77E7F"/>
    <w:rsid w:val="00B80475"/>
    <w:rsid w:val="00B863AD"/>
    <w:rsid w:val="00B86480"/>
    <w:rsid w:val="00B868AF"/>
    <w:rsid w:val="00BA50C6"/>
    <w:rsid w:val="00BA5849"/>
    <w:rsid w:val="00BC250E"/>
    <w:rsid w:val="00BC386A"/>
    <w:rsid w:val="00BC4F68"/>
    <w:rsid w:val="00BC50A1"/>
    <w:rsid w:val="00BC78F8"/>
    <w:rsid w:val="00BD3324"/>
    <w:rsid w:val="00BD5B4F"/>
    <w:rsid w:val="00BE02E4"/>
    <w:rsid w:val="00BE1534"/>
    <w:rsid w:val="00BE68A6"/>
    <w:rsid w:val="00BF25C3"/>
    <w:rsid w:val="00BF48B2"/>
    <w:rsid w:val="00BF60BE"/>
    <w:rsid w:val="00BF775E"/>
    <w:rsid w:val="00C00D17"/>
    <w:rsid w:val="00C05B36"/>
    <w:rsid w:val="00C11F21"/>
    <w:rsid w:val="00C136AF"/>
    <w:rsid w:val="00C166B8"/>
    <w:rsid w:val="00C21FFA"/>
    <w:rsid w:val="00C26C33"/>
    <w:rsid w:val="00C32D18"/>
    <w:rsid w:val="00C33152"/>
    <w:rsid w:val="00C407D0"/>
    <w:rsid w:val="00C50838"/>
    <w:rsid w:val="00C5394A"/>
    <w:rsid w:val="00C70A01"/>
    <w:rsid w:val="00C726FA"/>
    <w:rsid w:val="00C73DD3"/>
    <w:rsid w:val="00C827A0"/>
    <w:rsid w:val="00C9207C"/>
    <w:rsid w:val="00C95266"/>
    <w:rsid w:val="00CA0DA8"/>
    <w:rsid w:val="00CA3F1D"/>
    <w:rsid w:val="00CA7FAB"/>
    <w:rsid w:val="00CB14A2"/>
    <w:rsid w:val="00CC3D43"/>
    <w:rsid w:val="00CC59B0"/>
    <w:rsid w:val="00CE1408"/>
    <w:rsid w:val="00CE66F3"/>
    <w:rsid w:val="00CF2A2A"/>
    <w:rsid w:val="00CF4E9A"/>
    <w:rsid w:val="00D00A33"/>
    <w:rsid w:val="00D03C25"/>
    <w:rsid w:val="00D04E40"/>
    <w:rsid w:val="00D055EB"/>
    <w:rsid w:val="00D32ECF"/>
    <w:rsid w:val="00D370F0"/>
    <w:rsid w:val="00D45A56"/>
    <w:rsid w:val="00D45E13"/>
    <w:rsid w:val="00D6047E"/>
    <w:rsid w:val="00D61516"/>
    <w:rsid w:val="00D648AF"/>
    <w:rsid w:val="00D73218"/>
    <w:rsid w:val="00D77500"/>
    <w:rsid w:val="00D81E6B"/>
    <w:rsid w:val="00D84F45"/>
    <w:rsid w:val="00D92D67"/>
    <w:rsid w:val="00DA169E"/>
    <w:rsid w:val="00DA49B8"/>
    <w:rsid w:val="00DB3232"/>
    <w:rsid w:val="00DC404D"/>
    <w:rsid w:val="00DC5AFF"/>
    <w:rsid w:val="00DD1856"/>
    <w:rsid w:val="00DD1B0E"/>
    <w:rsid w:val="00DD3C34"/>
    <w:rsid w:val="00DD448B"/>
    <w:rsid w:val="00DE1F84"/>
    <w:rsid w:val="00DE473D"/>
    <w:rsid w:val="00E036D1"/>
    <w:rsid w:val="00E33CA3"/>
    <w:rsid w:val="00E41394"/>
    <w:rsid w:val="00E50682"/>
    <w:rsid w:val="00E575FD"/>
    <w:rsid w:val="00E63CEC"/>
    <w:rsid w:val="00E67235"/>
    <w:rsid w:val="00E716AA"/>
    <w:rsid w:val="00E76CC5"/>
    <w:rsid w:val="00E86048"/>
    <w:rsid w:val="00E95EAD"/>
    <w:rsid w:val="00E96736"/>
    <w:rsid w:val="00EB23AB"/>
    <w:rsid w:val="00EB640B"/>
    <w:rsid w:val="00EB76C3"/>
    <w:rsid w:val="00EC3848"/>
    <w:rsid w:val="00ED266F"/>
    <w:rsid w:val="00ED4EA2"/>
    <w:rsid w:val="00ED7043"/>
    <w:rsid w:val="00EE4986"/>
    <w:rsid w:val="00EE699C"/>
    <w:rsid w:val="00EE6E11"/>
    <w:rsid w:val="00EF015D"/>
    <w:rsid w:val="00EF101B"/>
    <w:rsid w:val="00EF2FD4"/>
    <w:rsid w:val="00EF3EFD"/>
    <w:rsid w:val="00EF5AFA"/>
    <w:rsid w:val="00EF66CF"/>
    <w:rsid w:val="00F0664E"/>
    <w:rsid w:val="00F07D16"/>
    <w:rsid w:val="00F24CA1"/>
    <w:rsid w:val="00F26F0D"/>
    <w:rsid w:val="00F345F3"/>
    <w:rsid w:val="00F36CEC"/>
    <w:rsid w:val="00F54580"/>
    <w:rsid w:val="00F56038"/>
    <w:rsid w:val="00F5659D"/>
    <w:rsid w:val="00F645ED"/>
    <w:rsid w:val="00F7357C"/>
    <w:rsid w:val="00F73A2F"/>
    <w:rsid w:val="00F77D02"/>
    <w:rsid w:val="00F87CCC"/>
    <w:rsid w:val="00F93D7D"/>
    <w:rsid w:val="00FA081E"/>
    <w:rsid w:val="00FA2AB4"/>
    <w:rsid w:val="00FA30F9"/>
    <w:rsid w:val="00FA5E83"/>
    <w:rsid w:val="00FB3666"/>
    <w:rsid w:val="00FB61E5"/>
    <w:rsid w:val="00FD3FF1"/>
    <w:rsid w:val="00FE221B"/>
    <w:rsid w:val="00FE4806"/>
    <w:rsid w:val="00FE4EE1"/>
    <w:rsid w:val="00FE7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B84EB"/>
  <w15:docId w15:val="{B732F322-AB88-4DAF-82E2-FABF93D01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6827"/>
    <w:pPr>
      <w:spacing w:after="180"/>
    </w:pPr>
    <w:rPr>
      <w:rFonts w:eastAsia="宋体"/>
      <w:lang w:val="en-GB"/>
    </w:rPr>
  </w:style>
  <w:style w:type="paragraph" w:styleId="1">
    <w:name w:val="heading 1"/>
    <w:next w:val="a"/>
    <w:link w:val="10"/>
    <w:qFormat/>
    <w:rsid w:val="00A01ADF"/>
    <w:pPr>
      <w:keepNext/>
      <w:keepLines/>
      <w:pBdr>
        <w:top w:val="single" w:sz="12" w:space="3" w:color="auto"/>
      </w:pBdr>
      <w:spacing w:before="240" w:after="180"/>
      <w:outlineLvl w:val="0"/>
    </w:pPr>
    <w:rPr>
      <w:rFonts w:ascii="Arial" w:eastAsia="宋体" w:hAnsi="Arial"/>
      <w:sz w:val="36"/>
      <w:lang w:val="sv-SE"/>
    </w:rPr>
  </w:style>
  <w:style w:type="paragraph" w:styleId="2">
    <w:name w:val="heading 2"/>
    <w:basedOn w:val="a"/>
    <w:next w:val="a"/>
    <w:link w:val="20"/>
    <w:unhideWhenUsed/>
    <w:qFormat/>
    <w:rsid w:val="0012550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25501"/>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rsid w:val="0012550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01ADF"/>
    <w:rPr>
      <w:rFonts w:ascii="Arial" w:eastAsia="宋体" w:hAnsi="Arial"/>
      <w:sz w:val="36"/>
      <w:lang w:val="sv-SE"/>
    </w:rPr>
  </w:style>
  <w:style w:type="paragraph" w:styleId="a3">
    <w:name w:val="header"/>
    <w:link w:val="a4"/>
    <w:qFormat/>
    <w:rsid w:val="00A01ADF"/>
    <w:pPr>
      <w:widowControl w:val="0"/>
    </w:pPr>
    <w:rPr>
      <w:rFonts w:ascii="Arial" w:eastAsia="宋体" w:hAnsi="Arial"/>
      <w:b/>
      <w:sz w:val="18"/>
      <w:lang w:val="en-GB" w:eastAsia="sv-SE"/>
    </w:rPr>
  </w:style>
  <w:style w:type="character" w:customStyle="1" w:styleId="a4">
    <w:name w:val="页眉 字符"/>
    <w:basedOn w:val="a0"/>
    <w:link w:val="a3"/>
    <w:qFormat/>
    <w:rsid w:val="00A01ADF"/>
    <w:rPr>
      <w:rFonts w:ascii="Arial" w:eastAsia="宋体" w:hAnsi="Arial"/>
      <w:b/>
      <w:sz w:val="18"/>
      <w:lang w:val="en-GB" w:eastAsia="sv-SE"/>
    </w:rPr>
  </w:style>
  <w:style w:type="paragraph" w:customStyle="1" w:styleId="CRCoverPage">
    <w:name w:val="CR Cover Page"/>
    <w:rsid w:val="00A01ADF"/>
    <w:pPr>
      <w:spacing w:after="120"/>
    </w:pPr>
    <w:rPr>
      <w:rFonts w:ascii="Arial" w:eastAsiaTheme="minorEastAsia" w:hAnsi="Arial"/>
      <w:lang w:val="en-GB"/>
    </w:rPr>
  </w:style>
  <w:style w:type="table" w:styleId="a5">
    <w:name w:val="Table Grid"/>
    <w:basedOn w:val="a1"/>
    <w:qFormat/>
    <w:rsid w:val="001D1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出"/>
    <w:basedOn w:val="a"/>
    <w:link w:val="a7"/>
    <w:uiPriority w:val="34"/>
    <w:qFormat/>
    <w:rsid w:val="001D1C53"/>
    <w:pPr>
      <w:widowControl w:val="0"/>
      <w:spacing w:before="80" w:after="0" w:line="360" w:lineRule="auto"/>
      <w:ind w:firstLineChars="200" w:firstLine="420"/>
      <w:jc w:val="both"/>
    </w:pPr>
    <w:rPr>
      <w:kern w:val="2"/>
      <w:sz w:val="21"/>
      <w:szCs w:val="24"/>
      <w:lang w:val="en-US" w:eastAsia="zh-CN"/>
    </w:rPr>
  </w:style>
  <w:style w:type="character" w:customStyle="1" w:styleId="a7">
    <w:name w:val="列出段落 字符"/>
    <w:aliases w:val="R4_bullets 字符,- Bullets 字符1,?? ?? 字符1,????? 字符1,????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6"/>
    <w:uiPriority w:val="34"/>
    <w:qFormat/>
    <w:locked/>
    <w:rsid w:val="001D1C53"/>
    <w:rPr>
      <w:rFonts w:eastAsia="宋体"/>
      <w:kern w:val="2"/>
      <w:sz w:val="21"/>
      <w:szCs w:val="24"/>
      <w:lang w:eastAsia="zh-CN"/>
    </w:rPr>
  </w:style>
  <w:style w:type="character" w:customStyle="1" w:styleId="TALCar">
    <w:name w:val="TAL Car"/>
    <w:basedOn w:val="a0"/>
    <w:link w:val="TAL"/>
    <w:qFormat/>
    <w:locked/>
    <w:rsid w:val="006B26E6"/>
    <w:rPr>
      <w:rFonts w:ascii="Arial" w:hAnsi="Arial" w:cs="Arial"/>
      <w:lang w:eastAsia="ja-JP"/>
    </w:rPr>
  </w:style>
  <w:style w:type="paragraph" w:customStyle="1" w:styleId="TAL">
    <w:name w:val="TAL"/>
    <w:basedOn w:val="a"/>
    <w:link w:val="TALCar"/>
    <w:qFormat/>
    <w:rsid w:val="006B26E6"/>
    <w:pPr>
      <w:keepNext/>
      <w:overflowPunct w:val="0"/>
      <w:autoSpaceDE w:val="0"/>
      <w:autoSpaceDN w:val="0"/>
      <w:spacing w:after="0"/>
    </w:pPr>
    <w:rPr>
      <w:rFonts w:ascii="Arial" w:eastAsia="Batang" w:hAnsi="Arial" w:cs="Arial"/>
      <w:lang w:val="en-US" w:eastAsia="ja-JP"/>
    </w:rPr>
  </w:style>
  <w:style w:type="paragraph" w:customStyle="1" w:styleId="maintext">
    <w:name w:val="main text"/>
    <w:basedOn w:val="a"/>
    <w:link w:val="maintextChar"/>
    <w:qFormat/>
    <w:rsid w:val="006B26E6"/>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6B26E6"/>
    <w:rPr>
      <w:rFonts w:eastAsia="Malgun Gothic" w:cs="Batang"/>
      <w:lang w:val="en-GB" w:eastAsia="ko-KR"/>
    </w:rPr>
  </w:style>
  <w:style w:type="paragraph" w:customStyle="1" w:styleId="TAH">
    <w:name w:val="TAH"/>
    <w:basedOn w:val="TAC"/>
    <w:link w:val="TAHCar"/>
    <w:qFormat/>
    <w:rsid w:val="00C33152"/>
    <w:rPr>
      <w:b/>
    </w:rPr>
  </w:style>
  <w:style w:type="paragraph" w:customStyle="1" w:styleId="TAC">
    <w:name w:val="TAC"/>
    <w:basedOn w:val="TAL"/>
    <w:link w:val="TACChar"/>
    <w:qFormat/>
    <w:rsid w:val="00C33152"/>
    <w:pPr>
      <w:keepLines/>
      <w:overflowPunct/>
      <w:autoSpaceDE/>
      <w:autoSpaceDN/>
      <w:jc w:val="center"/>
    </w:pPr>
    <w:rPr>
      <w:rFonts w:eastAsiaTheme="minorEastAsia" w:cs="Times New Roman"/>
      <w:sz w:val="18"/>
      <w:lang w:val="en-GB" w:eastAsia="en-US"/>
    </w:rPr>
  </w:style>
  <w:style w:type="paragraph" w:customStyle="1" w:styleId="NO">
    <w:name w:val="NO"/>
    <w:basedOn w:val="a"/>
    <w:link w:val="NOChar"/>
    <w:qFormat/>
    <w:rsid w:val="00C33152"/>
    <w:pPr>
      <w:keepLines/>
      <w:ind w:left="1135" w:hanging="851"/>
    </w:pPr>
    <w:rPr>
      <w:rFonts w:eastAsiaTheme="minorEastAsia"/>
    </w:rPr>
  </w:style>
  <w:style w:type="character" w:styleId="a8">
    <w:name w:val="annotation reference"/>
    <w:uiPriority w:val="99"/>
    <w:qFormat/>
    <w:rsid w:val="00C33152"/>
    <w:rPr>
      <w:sz w:val="16"/>
    </w:rPr>
  </w:style>
  <w:style w:type="paragraph" w:styleId="a9">
    <w:name w:val="annotation text"/>
    <w:basedOn w:val="a"/>
    <w:link w:val="aa"/>
    <w:qFormat/>
    <w:rsid w:val="00C33152"/>
    <w:rPr>
      <w:rFonts w:eastAsiaTheme="minorEastAsia"/>
    </w:rPr>
  </w:style>
  <w:style w:type="character" w:customStyle="1" w:styleId="aa">
    <w:name w:val="批注文字 字符"/>
    <w:basedOn w:val="a0"/>
    <w:link w:val="a9"/>
    <w:qFormat/>
    <w:rsid w:val="00C33152"/>
    <w:rPr>
      <w:rFonts w:eastAsiaTheme="minorEastAsia"/>
      <w:lang w:val="en-GB"/>
    </w:rPr>
  </w:style>
  <w:style w:type="character" w:customStyle="1" w:styleId="TACChar">
    <w:name w:val="TAC Char"/>
    <w:link w:val="TAC"/>
    <w:qFormat/>
    <w:rsid w:val="00C33152"/>
    <w:rPr>
      <w:rFonts w:ascii="Arial" w:eastAsiaTheme="minorEastAsia" w:hAnsi="Arial"/>
      <w:sz w:val="18"/>
      <w:lang w:val="en-GB"/>
    </w:rPr>
  </w:style>
  <w:style w:type="character" w:customStyle="1" w:styleId="TAHCar">
    <w:name w:val="TAH Car"/>
    <w:link w:val="TAH"/>
    <w:qFormat/>
    <w:rsid w:val="00C33152"/>
    <w:rPr>
      <w:rFonts w:ascii="Arial" w:eastAsiaTheme="minorEastAsia" w:hAnsi="Arial"/>
      <w:b/>
      <w:sz w:val="18"/>
      <w:lang w:val="en-GB"/>
    </w:rPr>
  </w:style>
  <w:style w:type="character" w:customStyle="1" w:styleId="NOChar">
    <w:name w:val="NO Char"/>
    <w:link w:val="NO"/>
    <w:qFormat/>
    <w:rsid w:val="00C33152"/>
    <w:rPr>
      <w:rFonts w:eastAsiaTheme="minorEastAsia"/>
      <w:lang w:val="en-GB"/>
    </w:rPr>
  </w:style>
  <w:style w:type="paragraph" w:styleId="ab">
    <w:name w:val="Balloon Text"/>
    <w:basedOn w:val="a"/>
    <w:link w:val="ac"/>
    <w:semiHidden/>
    <w:unhideWhenUsed/>
    <w:rsid w:val="00C33152"/>
    <w:pPr>
      <w:spacing w:after="0"/>
    </w:pPr>
    <w:rPr>
      <w:sz w:val="18"/>
      <w:szCs w:val="18"/>
    </w:rPr>
  </w:style>
  <w:style w:type="character" w:customStyle="1" w:styleId="ac">
    <w:name w:val="批注框文本 字符"/>
    <w:basedOn w:val="a0"/>
    <w:link w:val="ab"/>
    <w:semiHidden/>
    <w:rsid w:val="00C33152"/>
    <w:rPr>
      <w:rFonts w:eastAsia="宋体"/>
      <w:sz w:val="18"/>
      <w:szCs w:val="18"/>
      <w:lang w:val="en-GB"/>
    </w:rPr>
  </w:style>
  <w:style w:type="character" w:customStyle="1" w:styleId="20">
    <w:name w:val="标题 2 字符"/>
    <w:basedOn w:val="a0"/>
    <w:link w:val="2"/>
    <w:rsid w:val="00125501"/>
    <w:rPr>
      <w:rFonts w:asciiTheme="majorHAnsi" w:eastAsiaTheme="majorEastAsia" w:hAnsiTheme="majorHAnsi" w:cstheme="majorBidi"/>
      <w:b/>
      <w:bCs/>
      <w:sz w:val="32"/>
      <w:szCs w:val="32"/>
      <w:lang w:val="en-GB"/>
    </w:rPr>
  </w:style>
  <w:style w:type="character" w:customStyle="1" w:styleId="30">
    <w:name w:val="标题 3 字符"/>
    <w:basedOn w:val="a0"/>
    <w:link w:val="3"/>
    <w:rsid w:val="00125501"/>
    <w:rPr>
      <w:rFonts w:eastAsia="宋体"/>
      <w:b/>
      <w:bCs/>
      <w:sz w:val="32"/>
      <w:szCs w:val="32"/>
      <w:lang w:val="en-GB"/>
    </w:rPr>
  </w:style>
  <w:style w:type="character" w:customStyle="1" w:styleId="40">
    <w:name w:val="标题 4 字符"/>
    <w:basedOn w:val="a0"/>
    <w:link w:val="4"/>
    <w:semiHidden/>
    <w:rsid w:val="00125501"/>
    <w:rPr>
      <w:rFonts w:asciiTheme="majorHAnsi" w:eastAsiaTheme="majorEastAsia" w:hAnsiTheme="majorHAnsi" w:cstheme="majorBidi"/>
      <w:b/>
      <w:bCs/>
      <w:sz w:val="28"/>
      <w:szCs w:val="28"/>
      <w:lang w:val="en-GB"/>
    </w:rPr>
  </w:style>
  <w:style w:type="paragraph" w:customStyle="1" w:styleId="TH">
    <w:name w:val="TH"/>
    <w:basedOn w:val="a"/>
    <w:link w:val="THChar"/>
    <w:qFormat/>
    <w:rsid w:val="00125501"/>
    <w:pPr>
      <w:keepNext/>
      <w:keepLines/>
      <w:spacing w:before="60"/>
      <w:jc w:val="center"/>
    </w:pPr>
    <w:rPr>
      <w:rFonts w:ascii="Arial" w:eastAsiaTheme="minorEastAsia" w:hAnsi="Arial"/>
      <w:b/>
    </w:rPr>
  </w:style>
  <w:style w:type="paragraph" w:customStyle="1" w:styleId="TAN">
    <w:name w:val="TAN"/>
    <w:basedOn w:val="TAL"/>
    <w:link w:val="TANChar"/>
    <w:qFormat/>
    <w:rsid w:val="00125501"/>
    <w:pPr>
      <w:keepLines/>
      <w:overflowPunct/>
      <w:autoSpaceDE/>
      <w:autoSpaceDN/>
      <w:ind w:left="851" w:hanging="851"/>
    </w:pPr>
    <w:rPr>
      <w:rFonts w:eastAsiaTheme="minorEastAsia" w:cs="Times New Roman"/>
      <w:sz w:val="18"/>
      <w:lang w:val="en-GB" w:eastAsia="en-US"/>
    </w:rPr>
  </w:style>
  <w:style w:type="character" w:customStyle="1" w:styleId="THChar">
    <w:name w:val="TH Char"/>
    <w:link w:val="TH"/>
    <w:qFormat/>
    <w:rsid w:val="00125501"/>
    <w:rPr>
      <w:rFonts w:ascii="Arial" w:eastAsiaTheme="minorEastAsia" w:hAnsi="Arial"/>
      <w:b/>
      <w:lang w:val="en-GB"/>
    </w:rPr>
  </w:style>
  <w:style w:type="character" w:customStyle="1" w:styleId="TANChar">
    <w:name w:val="TAN Char"/>
    <w:link w:val="TAN"/>
    <w:qFormat/>
    <w:rsid w:val="00125501"/>
    <w:rPr>
      <w:rFonts w:ascii="Arial" w:eastAsiaTheme="minorEastAsia" w:hAnsi="Arial"/>
      <w:sz w:val="18"/>
      <w:lang w:val="en-GB"/>
    </w:rPr>
  </w:style>
  <w:style w:type="character" w:customStyle="1" w:styleId="msoins0">
    <w:name w:val="msoins0"/>
    <w:qFormat/>
    <w:rsid w:val="00125501"/>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uiPriority w:val="34"/>
    <w:locked/>
    <w:rsid w:val="00C26C33"/>
    <w:rPr>
      <w:rFonts w:ascii="Calibri" w:hAnsi="Calibri" w:cs="Calibri"/>
      <w:lang w:eastAsia="x-none"/>
    </w:rPr>
  </w:style>
  <w:style w:type="paragraph" w:styleId="ae">
    <w:name w:val="footer"/>
    <w:basedOn w:val="a"/>
    <w:link w:val="af"/>
    <w:unhideWhenUsed/>
    <w:rsid w:val="006165E1"/>
    <w:pPr>
      <w:tabs>
        <w:tab w:val="center" w:pos="4153"/>
        <w:tab w:val="right" w:pos="8306"/>
      </w:tabs>
      <w:snapToGrid w:val="0"/>
    </w:pPr>
    <w:rPr>
      <w:sz w:val="18"/>
      <w:szCs w:val="18"/>
    </w:rPr>
  </w:style>
  <w:style w:type="character" w:customStyle="1" w:styleId="af">
    <w:name w:val="页脚 字符"/>
    <w:basedOn w:val="a0"/>
    <w:link w:val="ae"/>
    <w:rsid w:val="006165E1"/>
    <w:rPr>
      <w:rFonts w:eastAsia="宋体"/>
      <w:sz w:val="18"/>
      <w:szCs w:val="18"/>
      <w:lang w:val="en-GB"/>
    </w:rPr>
  </w:style>
  <w:style w:type="character" w:styleId="af0">
    <w:name w:val="Hyperlink"/>
    <w:basedOn w:val="a0"/>
    <w:qFormat/>
    <w:rsid w:val="00EF5AFA"/>
    <w:rPr>
      <w:color w:val="0000FF"/>
      <w:u w:val="single"/>
    </w:rPr>
  </w:style>
  <w:style w:type="character" w:customStyle="1" w:styleId="TALChar">
    <w:name w:val="TAL Char"/>
    <w:qFormat/>
    <w:rsid w:val="00B46BCB"/>
    <w:rPr>
      <w:rFonts w:ascii="Arial" w:eastAsia="Times New Roman" w:hAnsi="Arial"/>
      <w:sz w:val="18"/>
      <w:lang w:val="en-GB" w:eastAsia="en-GB"/>
    </w:rPr>
  </w:style>
  <w:style w:type="table" w:customStyle="1" w:styleId="11">
    <w:name w:val="网格型1"/>
    <w:basedOn w:val="a1"/>
    <w:qFormat/>
    <w:rsid w:val="00B46BCB"/>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C5394A"/>
    <w:pPr>
      <w:overflowPunct w:val="0"/>
      <w:autoSpaceDE w:val="0"/>
      <w:autoSpaceDN w:val="0"/>
      <w:adjustRightInd w:val="0"/>
      <w:ind w:leftChars="0" w:left="851" w:firstLineChars="0" w:hanging="284"/>
      <w:contextualSpacing w:val="0"/>
      <w:textAlignment w:val="baseline"/>
    </w:pPr>
    <w:rPr>
      <w:rFonts w:eastAsia="等线"/>
      <w:lang w:eastAsia="en-GB"/>
    </w:rPr>
  </w:style>
  <w:style w:type="paragraph" w:styleId="21">
    <w:name w:val="List 2"/>
    <w:basedOn w:val="a"/>
    <w:semiHidden/>
    <w:unhideWhenUsed/>
    <w:rsid w:val="00C5394A"/>
    <w:pPr>
      <w:ind w:leftChars="200" w:left="100" w:hangingChars="200" w:hanging="200"/>
      <w:contextualSpacing/>
    </w:pPr>
  </w:style>
  <w:style w:type="paragraph" w:styleId="af1">
    <w:name w:val="Normal (Web)"/>
    <w:basedOn w:val="a"/>
    <w:qFormat/>
    <w:rsid w:val="00285F5F"/>
    <w:pPr>
      <w:spacing w:before="100" w:beforeAutospacing="1" w:after="100" w:afterAutospacing="1"/>
    </w:pPr>
    <w:rPr>
      <w:rFonts w:eastAsia="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18465">
      <w:bodyDiv w:val="1"/>
      <w:marLeft w:val="0"/>
      <w:marRight w:val="0"/>
      <w:marTop w:val="0"/>
      <w:marBottom w:val="0"/>
      <w:divBdr>
        <w:top w:val="none" w:sz="0" w:space="0" w:color="auto"/>
        <w:left w:val="none" w:sz="0" w:space="0" w:color="auto"/>
        <w:bottom w:val="none" w:sz="0" w:space="0" w:color="auto"/>
        <w:right w:val="none" w:sz="0" w:space="0" w:color="auto"/>
      </w:divBdr>
    </w:div>
    <w:div w:id="317879164">
      <w:bodyDiv w:val="1"/>
      <w:marLeft w:val="0"/>
      <w:marRight w:val="0"/>
      <w:marTop w:val="0"/>
      <w:marBottom w:val="0"/>
      <w:divBdr>
        <w:top w:val="none" w:sz="0" w:space="0" w:color="auto"/>
        <w:left w:val="none" w:sz="0" w:space="0" w:color="auto"/>
        <w:bottom w:val="none" w:sz="0" w:space="0" w:color="auto"/>
        <w:right w:val="none" w:sz="0" w:space="0" w:color="auto"/>
      </w:divBdr>
    </w:div>
    <w:div w:id="1098717696">
      <w:bodyDiv w:val="1"/>
      <w:marLeft w:val="0"/>
      <w:marRight w:val="0"/>
      <w:marTop w:val="0"/>
      <w:marBottom w:val="0"/>
      <w:divBdr>
        <w:top w:val="none" w:sz="0" w:space="0" w:color="auto"/>
        <w:left w:val="none" w:sz="0" w:space="0" w:color="auto"/>
        <w:bottom w:val="none" w:sz="0" w:space="0" w:color="auto"/>
        <w:right w:val="none" w:sz="0" w:space="0" w:color="auto"/>
      </w:divBdr>
    </w:div>
    <w:div w:id="1517307150">
      <w:bodyDiv w:val="1"/>
      <w:marLeft w:val="0"/>
      <w:marRight w:val="0"/>
      <w:marTop w:val="0"/>
      <w:marBottom w:val="0"/>
      <w:divBdr>
        <w:top w:val="none" w:sz="0" w:space="0" w:color="auto"/>
        <w:left w:val="none" w:sz="0" w:space="0" w:color="auto"/>
        <w:bottom w:val="none" w:sz="0" w:space="0" w:color="auto"/>
        <w:right w:val="none" w:sz="0" w:space="0" w:color="auto"/>
      </w:divBdr>
    </w:div>
    <w:div w:id="2025665317">
      <w:bodyDiv w:val="1"/>
      <w:marLeft w:val="0"/>
      <w:marRight w:val="0"/>
      <w:marTop w:val="0"/>
      <w:marBottom w:val="0"/>
      <w:divBdr>
        <w:top w:val="none" w:sz="0" w:space="0" w:color="auto"/>
        <w:left w:val="none" w:sz="0" w:space="0" w:color="auto"/>
        <w:bottom w:val="none" w:sz="0" w:space="0" w:color="auto"/>
        <w:right w:val="none" w:sz="0" w:space="0" w:color="auto"/>
      </w:divBdr>
    </w:div>
    <w:div w:id="204454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nsen.tang\Downloads\3GStyleBar%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A5235-E38E-450B-A6C5-A4B5A79FF3BF}">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3GStyleBar (1).dotm</Template>
  <TotalTime>13</TotalTime>
  <Pages>5</Pages>
  <Words>1732</Words>
  <Characters>9878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11587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 Samsung</dc:creator>
  <cp:keywords/>
  <dc:description/>
  <cp:lastModifiedBy>Runsen, Samsung</cp:lastModifiedBy>
  <cp:revision>12</cp:revision>
  <dcterms:created xsi:type="dcterms:W3CDTF">2024-10-05T01:08:00Z</dcterms:created>
  <dcterms:modified xsi:type="dcterms:W3CDTF">2024-10-07T12:25:00Z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